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6F0" w:rsidRPr="00684B67" w:rsidRDefault="00D106F0" w:rsidP="001F3FEE">
      <w:pPr>
        <w:jc w:val="center"/>
        <w:outlineLvl w:val="2"/>
        <w:rPr>
          <w:b/>
          <w:bCs/>
          <w:sz w:val="28"/>
          <w:szCs w:val="28"/>
        </w:rPr>
      </w:pPr>
      <w:r w:rsidRPr="00684B67">
        <w:rPr>
          <w:b/>
          <w:bCs/>
          <w:sz w:val="28"/>
          <w:szCs w:val="28"/>
        </w:rPr>
        <w:t xml:space="preserve">ОСНОВНЫЕ НАПРАВЛЕНИЯ </w:t>
      </w:r>
    </w:p>
    <w:p w:rsidR="00D106F0" w:rsidRPr="00684B67" w:rsidRDefault="00D106F0" w:rsidP="001F3FEE">
      <w:pPr>
        <w:jc w:val="center"/>
        <w:outlineLvl w:val="2"/>
        <w:rPr>
          <w:b/>
          <w:bCs/>
          <w:sz w:val="28"/>
          <w:szCs w:val="28"/>
        </w:rPr>
      </w:pPr>
      <w:r w:rsidRPr="00684B67">
        <w:rPr>
          <w:b/>
          <w:bCs/>
          <w:sz w:val="28"/>
          <w:szCs w:val="28"/>
        </w:rPr>
        <w:t>бюджетной и налоговой политики бюджета муниципального образования «</w:t>
      </w:r>
      <w:r w:rsidR="00C9305D" w:rsidRPr="00684B67">
        <w:rPr>
          <w:b/>
          <w:bCs/>
          <w:sz w:val="28"/>
          <w:szCs w:val="28"/>
        </w:rPr>
        <w:t>Г</w:t>
      </w:r>
      <w:r w:rsidRPr="00684B67">
        <w:rPr>
          <w:b/>
          <w:bCs/>
          <w:sz w:val="28"/>
          <w:szCs w:val="28"/>
        </w:rPr>
        <w:t xml:space="preserve">ород Чистополь» </w:t>
      </w:r>
      <w:proofErr w:type="spellStart"/>
      <w:r w:rsidRPr="00684B67">
        <w:rPr>
          <w:b/>
          <w:bCs/>
          <w:sz w:val="28"/>
          <w:szCs w:val="28"/>
        </w:rPr>
        <w:t>Чистопольского</w:t>
      </w:r>
      <w:proofErr w:type="spellEnd"/>
      <w:r w:rsidRPr="00684B67">
        <w:rPr>
          <w:b/>
          <w:bCs/>
          <w:sz w:val="28"/>
          <w:szCs w:val="28"/>
        </w:rPr>
        <w:t xml:space="preserve"> муниципального района </w:t>
      </w:r>
    </w:p>
    <w:p w:rsidR="00D106F0" w:rsidRPr="00684B67" w:rsidRDefault="00D106F0" w:rsidP="001F3FEE">
      <w:pPr>
        <w:jc w:val="center"/>
        <w:outlineLvl w:val="2"/>
        <w:rPr>
          <w:b/>
          <w:bCs/>
          <w:sz w:val="28"/>
          <w:szCs w:val="28"/>
        </w:rPr>
      </w:pPr>
      <w:r w:rsidRPr="00684B67">
        <w:rPr>
          <w:b/>
          <w:bCs/>
          <w:sz w:val="28"/>
          <w:szCs w:val="28"/>
        </w:rPr>
        <w:t xml:space="preserve">Республики Татарстан </w:t>
      </w:r>
    </w:p>
    <w:p w:rsidR="00D106F0" w:rsidRPr="00684B67" w:rsidRDefault="00D106F0" w:rsidP="001F3FEE">
      <w:pPr>
        <w:jc w:val="center"/>
        <w:outlineLvl w:val="2"/>
        <w:rPr>
          <w:b/>
          <w:bCs/>
          <w:sz w:val="28"/>
          <w:szCs w:val="28"/>
        </w:rPr>
      </w:pPr>
      <w:r w:rsidRPr="00684B67">
        <w:rPr>
          <w:b/>
          <w:bCs/>
          <w:sz w:val="28"/>
          <w:szCs w:val="28"/>
        </w:rPr>
        <w:t>на 20</w:t>
      </w:r>
      <w:r w:rsidR="009512B1" w:rsidRPr="00684B67">
        <w:rPr>
          <w:b/>
          <w:bCs/>
          <w:sz w:val="28"/>
          <w:szCs w:val="28"/>
        </w:rPr>
        <w:t>2</w:t>
      </w:r>
      <w:r w:rsidR="00535615">
        <w:rPr>
          <w:b/>
          <w:bCs/>
          <w:sz w:val="28"/>
          <w:szCs w:val="28"/>
        </w:rPr>
        <w:t>2</w:t>
      </w:r>
      <w:r w:rsidRPr="00684B67">
        <w:rPr>
          <w:b/>
          <w:bCs/>
          <w:sz w:val="28"/>
          <w:szCs w:val="28"/>
        </w:rPr>
        <w:t xml:space="preserve"> год и плановый период 20</w:t>
      </w:r>
      <w:r w:rsidR="00C71C24" w:rsidRPr="00684B67">
        <w:rPr>
          <w:b/>
          <w:bCs/>
          <w:sz w:val="28"/>
          <w:szCs w:val="28"/>
        </w:rPr>
        <w:t>2</w:t>
      </w:r>
      <w:r w:rsidR="00535615">
        <w:rPr>
          <w:b/>
          <w:bCs/>
          <w:sz w:val="28"/>
          <w:szCs w:val="28"/>
        </w:rPr>
        <w:t>3</w:t>
      </w:r>
      <w:r w:rsidRPr="00684B67">
        <w:rPr>
          <w:b/>
          <w:bCs/>
          <w:sz w:val="28"/>
          <w:szCs w:val="28"/>
        </w:rPr>
        <w:t xml:space="preserve"> и 20</w:t>
      </w:r>
      <w:r w:rsidR="0046598E" w:rsidRPr="00684B67">
        <w:rPr>
          <w:b/>
          <w:bCs/>
          <w:sz w:val="28"/>
          <w:szCs w:val="28"/>
        </w:rPr>
        <w:t>2</w:t>
      </w:r>
      <w:r w:rsidR="00535615">
        <w:rPr>
          <w:b/>
          <w:bCs/>
          <w:sz w:val="28"/>
          <w:szCs w:val="28"/>
        </w:rPr>
        <w:t>4</w:t>
      </w:r>
      <w:r w:rsidRPr="00684B67">
        <w:rPr>
          <w:b/>
          <w:bCs/>
          <w:sz w:val="28"/>
          <w:szCs w:val="28"/>
        </w:rPr>
        <w:t xml:space="preserve"> годов</w:t>
      </w:r>
    </w:p>
    <w:p w:rsidR="00D106F0" w:rsidRPr="00684B67" w:rsidRDefault="00D106F0" w:rsidP="001F3FEE">
      <w:pPr>
        <w:tabs>
          <w:tab w:val="left" w:pos="540"/>
        </w:tabs>
        <w:jc w:val="both"/>
        <w:outlineLvl w:val="2"/>
        <w:rPr>
          <w:b/>
          <w:bCs/>
          <w:sz w:val="28"/>
          <w:szCs w:val="28"/>
        </w:rPr>
      </w:pPr>
    </w:p>
    <w:p w:rsidR="00CA1C0A" w:rsidRDefault="00CA1C0A" w:rsidP="00FD6B6E">
      <w:pPr>
        <w:pStyle w:val="ad"/>
        <w:spacing w:line="288" w:lineRule="auto"/>
        <w:ind w:right="-57" w:firstLine="567"/>
        <w:rPr>
          <w:sz w:val="28"/>
          <w:szCs w:val="28"/>
          <w:highlight w:val="yellow"/>
        </w:rPr>
      </w:pPr>
      <w:proofErr w:type="gramStart"/>
      <w:r w:rsidRPr="00CA1C0A">
        <w:rPr>
          <w:sz w:val="28"/>
          <w:szCs w:val="28"/>
        </w:rPr>
        <w:t xml:space="preserve">Основные направления бюджетной и налоговой политики  муниципального образования «Город Чистополь» </w:t>
      </w:r>
      <w:proofErr w:type="spellStart"/>
      <w:r w:rsidRPr="00CA1C0A">
        <w:rPr>
          <w:sz w:val="28"/>
          <w:szCs w:val="28"/>
        </w:rPr>
        <w:t>Чистопольского</w:t>
      </w:r>
      <w:proofErr w:type="spellEnd"/>
      <w:r w:rsidRPr="00CA1C0A">
        <w:rPr>
          <w:sz w:val="28"/>
          <w:szCs w:val="28"/>
        </w:rPr>
        <w:t xml:space="preserve"> муниципального района Республики Татарстан на 2022 год и плановый период 2023 и 2024 годов сформированы в рамках подготовки проекта бюджета муниципального образования «Город Чистополь» </w:t>
      </w:r>
      <w:proofErr w:type="spellStart"/>
      <w:r w:rsidRPr="00CA1C0A">
        <w:rPr>
          <w:sz w:val="28"/>
          <w:szCs w:val="28"/>
        </w:rPr>
        <w:t>Чистопольского</w:t>
      </w:r>
      <w:proofErr w:type="spellEnd"/>
      <w:r w:rsidRPr="00CA1C0A">
        <w:rPr>
          <w:sz w:val="28"/>
          <w:szCs w:val="28"/>
        </w:rPr>
        <w:t xml:space="preserve"> муниципального района Республики Татарстан на очередной финансовый год и двухлетний плановый период в соответствии со статьей 172 Бюджетного кодекса Российской Федерации  исходя из основных</w:t>
      </w:r>
      <w:proofErr w:type="gramEnd"/>
      <w:r w:rsidRPr="00CA1C0A">
        <w:rPr>
          <w:sz w:val="28"/>
          <w:szCs w:val="28"/>
        </w:rPr>
        <w:t xml:space="preserve"> </w:t>
      </w:r>
      <w:proofErr w:type="gramStart"/>
      <w:r w:rsidRPr="00CA1C0A">
        <w:rPr>
          <w:sz w:val="28"/>
          <w:szCs w:val="28"/>
        </w:rPr>
        <w:t>направлений бюджетной, налоговой и таможенно-тарифной политики Российской Федерации на 2022 год и плановый период 2023 и 2024 годов,  с учетом положений Указов Президента Российской Федерации от 7 мая 2018 года №204 «О национальных целях и стратегических задачах развития Российской Федерации на период до 2024 года» и от 21 июля 2020 года №474 «О национальных целях развития Российской Федерации на период</w:t>
      </w:r>
      <w:proofErr w:type="gramEnd"/>
      <w:r w:rsidRPr="00CA1C0A">
        <w:rPr>
          <w:sz w:val="28"/>
          <w:szCs w:val="28"/>
        </w:rPr>
        <w:t xml:space="preserve"> до 2030 года», Послания Президента Российской Федерации Федеральному Собранию Российской Федерации от 21 апреля 2021 года, Единого плана по достижению национальных целей развития Российской Федерации на период до 2024 года и на плановый период до 2030 года, послания Президента Республики Татарстан Государственному Совету Республики Татарстан от 08 октября 2021 года.</w:t>
      </w:r>
    </w:p>
    <w:p w:rsidR="00A06535" w:rsidRPr="005774C0" w:rsidRDefault="00A06535" w:rsidP="00A06535">
      <w:pPr>
        <w:spacing w:line="276" w:lineRule="auto"/>
        <w:ind w:firstLine="567"/>
        <w:jc w:val="both"/>
        <w:rPr>
          <w:sz w:val="28"/>
          <w:szCs w:val="28"/>
        </w:rPr>
      </w:pPr>
      <w:r w:rsidRPr="005774C0">
        <w:rPr>
          <w:sz w:val="28"/>
          <w:szCs w:val="28"/>
        </w:rPr>
        <w:t>Поступления налого</w:t>
      </w:r>
      <w:r w:rsidR="00994224" w:rsidRPr="005774C0">
        <w:rPr>
          <w:sz w:val="28"/>
          <w:szCs w:val="28"/>
        </w:rPr>
        <w:t>вых и неналоговых доходов за 2020</w:t>
      </w:r>
      <w:r w:rsidRPr="005774C0">
        <w:rPr>
          <w:sz w:val="28"/>
          <w:szCs w:val="28"/>
        </w:rPr>
        <w:t xml:space="preserve"> год составили              </w:t>
      </w:r>
      <w:r w:rsidRPr="005774C0">
        <w:rPr>
          <w:rFonts w:eastAsia="Times New Roman"/>
          <w:color w:val="000000"/>
          <w:sz w:val="28"/>
          <w:szCs w:val="28"/>
        </w:rPr>
        <w:t>1</w:t>
      </w:r>
      <w:r w:rsidR="00994224" w:rsidRPr="005774C0">
        <w:rPr>
          <w:rFonts w:eastAsia="Times New Roman"/>
          <w:color w:val="000000"/>
          <w:sz w:val="28"/>
          <w:szCs w:val="28"/>
        </w:rPr>
        <w:t>87500,5</w:t>
      </w:r>
      <w:r w:rsidRPr="005774C0">
        <w:rPr>
          <w:rFonts w:eastAsia="Times New Roman"/>
          <w:color w:val="000000"/>
          <w:sz w:val="28"/>
          <w:szCs w:val="28"/>
        </w:rPr>
        <w:t xml:space="preserve"> тысяч </w:t>
      </w:r>
      <w:r w:rsidRPr="005774C0">
        <w:rPr>
          <w:sz w:val="28"/>
          <w:szCs w:val="28"/>
        </w:rPr>
        <w:t xml:space="preserve">рублей с </w:t>
      </w:r>
      <w:r w:rsidR="00994224" w:rsidRPr="005774C0">
        <w:rPr>
          <w:sz w:val="28"/>
          <w:szCs w:val="28"/>
        </w:rPr>
        <w:t>увеличением</w:t>
      </w:r>
      <w:r w:rsidRPr="005774C0">
        <w:rPr>
          <w:sz w:val="28"/>
          <w:szCs w:val="28"/>
        </w:rPr>
        <w:t xml:space="preserve"> к предыдущему 201</w:t>
      </w:r>
      <w:r w:rsidR="00994224" w:rsidRPr="005774C0">
        <w:rPr>
          <w:sz w:val="28"/>
          <w:szCs w:val="28"/>
        </w:rPr>
        <w:t>9</w:t>
      </w:r>
      <w:r w:rsidRPr="005774C0">
        <w:rPr>
          <w:sz w:val="28"/>
          <w:szCs w:val="28"/>
        </w:rPr>
        <w:t xml:space="preserve"> </w:t>
      </w:r>
      <w:r w:rsidR="0021390E" w:rsidRPr="005774C0">
        <w:rPr>
          <w:sz w:val="28"/>
          <w:szCs w:val="28"/>
        </w:rPr>
        <w:t>году на</w:t>
      </w:r>
      <w:r w:rsidRPr="005774C0">
        <w:rPr>
          <w:sz w:val="28"/>
          <w:szCs w:val="28"/>
        </w:rPr>
        <w:t xml:space="preserve"> </w:t>
      </w:r>
      <w:r w:rsidR="00994224" w:rsidRPr="005774C0">
        <w:rPr>
          <w:sz w:val="28"/>
          <w:szCs w:val="28"/>
        </w:rPr>
        <w:t>15,2</w:t>
      </w:r>
      <w:r w:rsidRPr="005774C0">
        <w:rPr>
          <w:sz w:val="28"/>
          <w:szCs w:val="28"/>
        </w:rPr>
        <w:t xml:space="preserve"> процент</w:t>
      </w:r>
      <w:r w:rsidR="00994224" w:rsidRPr="005774C0">
        <w:rPr>
          <w:sz w:val="28"/>
          <w:szCs w:val="28"/>
        </w:rPr>
        <w:t>а</w:t>
      </w:r>
      <w:r w:rsidRPr="005774C0">
        <w:rPr>
          <w:sz w:val="28"/>
          <w:szCs w:val="28"/>
        </w:rPr>
        <w:t xml:space="preserve"> или на </w:t>
      </w:r>
      <w:r w:rsidR="00994224" w:rsidRPr="005774C0">
        <w:rPr>
          <w:sz w:val="28"/>
          <w:szCs w:val="28"/>
        </w:rPr>
        <w:t>24706,6</w:t>
      </w:r>
      <w:r w:rsidRPr="005774C0">
        <w:rPr>
          <w:sz w:val="28"/>
          <w:szCs w:val="28"/>
        </w:rPr>
        <w:t xml:space="preserve"> тысяч рублей. </w:t>
      </w:r>
    </w:p>
    <w:p w:rsidR="00A06535" w:rsidRPr="005774C0" w:rsidRDefault="0021390E" w:rsidP="00A06535">
      <w:pPr>
        <w:spacing w:line="276" w:lineRule="auto"/>
        <w:ind w:firstLine="567"/>
        <w:jc w:val="both"/>
        <w:rPr>
          <w:rFonts w:eastAsia="Times New Roman"/>
          <w:color w:val="000000"/>
          <w:sz w:val="28"/>
          <w:szCs w:val="28"/>
        </w:rPr>
      </w:pPr>
      <w:r w:rsidRPr="005774C0">
        <w:rPr>
          <w:sz w:val="28"/>
          <w:szCs w:val="28"/>
        </w:rPr>
        <w:t>В 2021</w:t>
      </w:r>
      <w:r w:rsidR="00A06535" w:rsidRPr="005774C0">
        <w:rPr>
          <w:sz w:val="28"/>
          <w:szCs w:val="28"/>
        </w:rPr>
        <w:t xml:space="preserve"> году исполнение бюджета проходит в сложных условиях. Кризисные явления, </w:t>
      </w:r>
      <w:r w:rsidRPr="005774C0">
        <w:rPr>
          <w:sz w:val="28"/>
          <w:szCs w:val="28"/>
        </w:rPr>
        <w:t>связанные распространением</w:t>
      </w:r>
      <w:r w:rsidR="00A06535" w:rsidRPr="005774C0">
        <w:rPr>
          <w:rFonts w:eastAsia="Times New Roman"/>
          <w:color w:val="000000"/>
          <w:sz w:val="28"/>
          <w:szCs w:val="28"/>
        </w:rPr>
        <w:t xml:space="preserve"> новой </w:t>
      </w:r>
      <w:proofErr w:type="spellStart"/>
      <w:r w:rsidR="00A06535" w:rsidRPr="005774C0">
        <w:rPr>
          <w:rFonts w:eastAsia="Times New Roman"/>
          <w:color w:val="000000"/>
          <w:sz w:val="28"/>
          <w:szCs w:val="28"/>
        </w:rPr>
        <w:t>коронавирусной</w:t>
      </w:r>
      <w:proofErr w:type="spellEnd"/>
      <w:r w:rsidR="00A06535" w:rsidRPr="005774C0">
        <w:rPr>
          <w:rFonts w:eastAsia="Times New Roman"/>
          <w:color w:val="000000"/>
          <w:sz w:val="28"/>
          <w:szCs w:val="28"/>
        </w:rPr>
        <w:t xml:space="preserve"> инфекции и, как следствие, пад</w:t>
      </w:r>
      <w:r w:rsidRPr="005774C0">
        <w:rPr>
          <w:rFonts w:eastAsia="Times New Roman"/>
          <w:color w:val="000000"/>
          <w:sz w:val="28"/>
          <w:szCs w:val="28"/>
        </w:rPr>
        <w:t>ением темпов развития экономики</w:t>
      </w:r>
      <w:r w:rsidR="00A06535" w:rsidRPr="005774C0">
        <w:rPr>
          <w:rFonts w:eastAsia="Times New Roman"/>
          <w:color w:val="000000"/>
          <w:sz w:val="28"/>
          <w:szCs w:val="28"/>
        </w:rPr>
        <w:t>. За 9 месяцев 202</w:t>
      </w:r>
      <w:r w:rsidRPr="005774C0">
        <w:rPr>
          <w:rFonts w:eastAsia="Times New Roman"/>
          <w:color w:val="000000"/>
          <w:sz w:val="28"/>
          <w:szCs w:val="28"/>
        </w:rPr>
        <w:t>1</w:t>
      </w:r>
      <w:r w:rsidR="00A06535" w:rsidRPr="005774C0">
        <w:rPr>
          <w:rFonts w:eastAsia="Times New Roman"/>
          <w:color w:val="000000"/>
          <w:sz w:val="28"/>
          <w:szCs w:val="28"/>
        </w:rPr>
        <w:t xml:space="preserve">года в бюджет города </w:t>
      </w:r>
      <w:r w:rsidRPr="005774C0">
        <w:rPr>
          <w:rFonts w:eastAsia="Times New Roman"/>
          <w:color w:val="000000"/>
          <w:sz w:val="28"/>
          <w:szCs w:val="28"/>
        </w:rPr>
        <w:t>поступили налоговые</w:t>
      </w:r>
      <w:r w:rsidR="00A06535" w:rsidRPr="005774C0">
        <w:rPr>
          <w:rFonts w:eastAsia="Times New Roman"/>
          <w:color w:val="000000"/>
          <w:sz w:val="28"/>
          <w:szCs w:val="28"/>
        </w:rPr>
        <w:t xml:space="preserve"> и </w:t>
      </w:r>
      <w:r w:rsidRPr="005774C0">
        <w:rPr>
          <w:rFonts w:eastAsia="Times New Roman"/>
          <w:color w:val="000000"/>
          <w:sz w:val="28"/>
          <w:szCs w:val="28"/>
        </w:rPr>
        <w:t>неналоговые доходы</w:t>
      </w:r>
      <w:r w:rsidR="00A06535" w:rsidRPr="005774C0">
        <w:rPr>
          <w:rFonts w:eastAsia="Times New Roman"/>
          <w:color w:val="000000"/>
          <w:sz w:val="28"/>
          <w:szCs w:val="28"/>
        </w:rPr>
        <w:t xml:space="preserve"> в объеме </w:t>
      </w:r>
      <w:r w:rsidRPr="005774C0">
        <w:rPr>
          <w:rFonts w:eastAsia="Times New Roman"/>
          <w:color w:val="000000"/>
          <w:sz w:val="28"/>
          <w:szCs w:val="28"/>
        </w:rPr>
        <w:t>108567,3</w:t>
      </w:r>
      <w:r w:rsidR="00A06535" w:rsidRPr="005774C0">
        <w:rPr>
          <w:rFonts w:eastAsia="Times New Roman"/>
          <w:color w:val="000000"/>
          <w:sz w:val="28"/>
          <w:szCs w:val="28"/>
        </w:rPr>
        <w:t xml:space="preserve"> </w:t>
      </w:r>
      <w:r w:rsidRPr="005774C0">
        <w:rPr>
          <w:rFonts w:eastAsia="Times New Roman"/>
          <w:color w:val="000000"/>
          <w:sz w:val="28"/>
          <w:szCs w:val="28"/>
        </w:rPr>
        <w:t>тысяч рублей</w:t>
      </w:r>
      <w:r w:rsidR="00A06535" w:rsidRPr="005774C0">
        <w:rPr>
          <w:rFonts w:eastAsia="Times New Roman"/>
          <w:color w:val="000000"/>
          <w:sz w:val="28"/>
          <w:szCs w:val="28"/>
        </w:rPr>
        <w:t xml:space="preserve">, что составляет </w:t>
      </w:r>
      <w:r w:rsidRPr="005774C0">
        <w:rPr>
          <w:rFonts w:eastAsia="Times New Roman"/>
          <w:color w:val="000000"/>
          <w:sz w:val="28"/>
          <w:szCs w:val="28"/>
        </w:rPr>
        <w:t>92,6</w:t>
      </w:r>
      <w:r w:rsidR="00A06535" w:rsidRPr="005774C0">
        <w:rPr>
          <w:rFonts w:eastAsia="Times New Roman"/>
          <w:color w:val="000000"/>
          <w:sz w:val="28"/>
          <w:szCs w:val="28"/>
        </w:rPr>
        <w:t xml:space="preserve"> процентов </w:t>
      </w:r>
      <w:r w:rsidRPr="005774C0">
        <w:rPr>
          <w:rFonts w:eastAsia="Times New Roman"/>
          <w:color w:val="000000"/>
          <w:sz w:val="28"/>
          <w:szCs w:val="28"/>
        </w:rPr>
        <w:t>к уровню аналогичного периода прошлого года</w:t>
      </w:r>
      <w:r w:rsidR="009A6C8B" w:rsidRPr="005774C0">
        <w:rPr>
          <w:rFonts w:eastAsia="Times New Roman"/>
          <w:color w:val="000000"/>
          <w:sz w:val="28"/>
          <w:szCs w:val="28"/>
        </w:rPr>
        <w:t xml:space="preserve"> или снижение на 8631,9тысяч рублей</w:t>
      </w:r>
      <w:r w:rsidRPr="005774C0">
        <w:rPr>
          <w:rFonts w:eastAsia="Times New Roman"/>
          <w:color w:val="000000"/>
          <w:sz w:val="28"/>
          <w:szCs w:val="28"/>
        </w:rPr>
        <w:t>.</w:t>
      </w:r>
      <w:r w:rsidR="00A06535" w:rsidRPr="005774C0">
        <w:rPr>
          <w:rFonts w:eastAsia="Times New Roman"/>
          <w:color w:val="000000"/>
          <w:sz w:val="28"/>
          <w:szCs w:val="28"/>
        </w:rPr>
        <w:t xml:space="preserve"> </w:t>
      </w:r>
    </w:p>
    <w:p w:rsidR="00A06535" w:rsidRPr="005774C0" w:rsidRDefault="00A06535" w:rsidP="00A06535">
      <w:pPr>
        <w:spacing w:line="276" w:lineRule="auto"/>
        <w:ind w:firstLine="567"/>
        <w:jc w:val="both"/>
        <w:rPr>
          <w:sz w:val="28"/>
          <w:szCs w:val="28"/>
        </w:rPr>
      </w:pPr>
      <w:r w:rsidRPr="005774C0">
        <w:rPr>
          <w:sz w:val="28"/>
          <w:szCs w:val="28"/>
        </w:rPr>
        <w:t>Одной из основополагающих задач налогообложения является обеспечение доходов бюджетной системы.</w:t>
      </w:r>
      <w:r w:rsidR="00780D6F" w:rsidRPr="005774C0">
        <w:rPr>
          <w:sz w:val="28"/>
          <w:szCs w:val="28"/>
        </w:rPr>
        <w:t xml:space="preserve"> Важным аспектом остается реализация социальной политики в налогообложении, которая  обеспечивается предоставлением социальной поддержки в виде льготных налоговых ставок по местным налогам наиболее незащищенным категориям населения.</w:t>
      </w:r>
    </w:p>
    <w:p w:rsidR="00A06535" w:rsidRPr="005774C0" w:rsidRDefault="00A06535" w:rsidP="00A06535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74C0">
        <w:rPr>
          <w:rFonts w:ascii="Times New Roman" w:hAnsi="Times New Roman" w:cs="Times New Roman"/>
          <w:sz w:val="28"/>
          <w:szCs w:val="28"/>
        </w:rPr>
        <w:t xml:space="preserve">В целях обеспечения реального роста экономики города, создания условий для инвестиционной деятельности и инновационного </w:t>
      </w:r>
      <w:r w:rsidR="005774C0" w:rsidRPr="005774C0">
        <w:rPr>
          <w:rFonts w:ascii="Times New Roman" w:hAnsi="Times New Roman" w:cs="Times New Roman"/>
          <w:sz w:val="28"/>
          <w:szCs w:val="28"/>
        </w:rPr>
        <w:t>развития, сохраняется</w:t>
      </w:r>
      <w:r w:rsidR="008E329E" w:rsidRPr="005774C0">
        <w:rPr>
          <w:rFonts w:ascii="Times New Roman" w:hAnsi="Times New Roman" w:cs="Times New Roman"/>
          <w:sz w:val="28"/>
          <w:szCs w:val="28"/>
        </w:rPr>
        <w:t xml:space="preserve"> </w:t>
      </w:r>
      <w:r w:rsidR="005774C0" w:rsidRPr="005774C0">
        <w:rPr>
          <w:rFonts w:ascii="Times New Roman" w:hAnsi="Times New Roman" w:cs="Times New Roman"/>
          <w:sz w:val="28"/>
          <w:szCs w:val="28"/>
        </w:rPr>
        <w:t>направленность на</w:t>
      </w:r>
      <w:r w:rsidRPr="005774C0">
        <w:rPr>
          <w:rFonts w:ascii="Times New Roman" w:hAnsi="Times New Roman" w:cs="Times New Roman"/>
          <w:sz w:val="28"/>
          <w:szCs w:val="28"/>
        </w:rPr>
        <w:t xml:space="preserve"> стимулирование перспективных направлений развития, а также </w:t>
      </w:r>
      <w:r w:rsidRPr="005774C0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осуществление мероприятий по наращиванию объема налоговых и неналоговых доходов. </w:t>
      </w:r>
    </w:p>
    <w:p w:rsidR="009D1274" w:rsidRPr="005774C0" w:rsidRDefault="009D1274" w:rsidP="009D1274">
      <w:pPr>
        <w:shd w:val="clear" w:color="auto" w:fill="FFFFFF"/>
        <w:spacing w:before="5" w:line="384" w:lineRule="exact"/>
        <w:ind w:right="5" w:firstLine="566"/>
        <w:jc w:val="both"/>
        <w:rPr>
          <w:rFonts w:eastAsia="Times New Roman"/>
          <w:color w:val="000000"/>
          <w:sz w:val="28"/>
          <w:szCs w:val="28"/>
        </w:rPr>
      </w:pPr>
      <w:r w:rsidRPr="005774C0">
        <w:rPr>
          <w:sz w:val="28"/>
          <w:szCs w:val="28"/>
        </w:rPr>
        <w:t xml:space="preserve">В 2020 году в рамках формирования доходной части бюджета города </w:t>
      </w:r>
      <w:r w:rsidR="00A06535" w:rsidRPr="005774C0">
        <w:rPr>
          <w:sz w:val="28"/>
          <w:szCs w:val="28"/>
        </w:rPr>
        <w:t>принимаются меры</w:t>
      </w:r>
      <w:r w:rsidRPr="005774C0">
        <w:rPr>
          <w:sz w:val="28"/>
          <w:szCs w:val="28"/>
        </w:rPr>
        <w:t xml:space="preserve"> </w:t>
      </w:r>
      <w:r w:rsidRPr="005774C0">
        <w:rPr>
          <w:rFonts w:eastAsia="Times New Roman"/>
          <w:color w:val="000000"/>
          <w:sz w:val="28"/>
          <w:szCs w:val="28"/>
        </w:rPr>
        <w:t>по привлечению перспективных налогоплательщиков за счет предо</w:t>
      </w:r>
      <w:r w:rsidRPr="005774C0">
        <w:rPr>
          <w:rFonts w:eastAsia="Times New Roman"/>
          <w:color w:val="000000"/>
          <w:sz w:val="28"/>
          <w:szCs w:val="28"/>
        </w:rPr>
        <w:softHyphen/>
        <w:t xml:space="preserve">ставления поддержки их инвестиционной деятельности. </w:t>
      </w:r>
    </w:p>
    <w:p w:rsidR="009D1274" w:rsidRPr="005774C0" w:rsidRDefault="009D1274" w:rsidP="009D1274">
      <w:pPr>
        <w:shd w:val="clear" w:color="auto" w:fill="FFFFFF"/>
        <w:spacing w:before="5" w:line="384" w:lineRule="exact"/>
        <w:ind w:right="5" w:firstLine="566"/>
        <w:jc w:val="both"/>
      </w:pPr>
      <w:r w:rsidRPr="005774C0">
        <w:rPr>
          <w:rFonts w:eastAsia="Times New Roman"/>
          <w:color w:val="000000"/>
          <w:sz w:val="28"/>
          <w:szCs w:val="28"/>
        </w:rPr>
        <w:t>Также осуществля</w:t>
      </w:r>
      <w:r w:rsidRPr="005774C0">
        <w:rPr>
          <w:rFonts w:eastAsia="Times New Roman"/>
          <w:color w:val="000000"/>
          <w:sz w:val="28"/>
          <w:szCs w:val="28"/>
        </w:rPr>
        <w:softHyphen/>
        <w:t>ются мероприятия по наращиванию объема налоговых и неналоговых дохо</w:t>
      </w:r>
      <w:r w:rsidRPr="005774C0">
        <w:rPr>
          <w:rFonts w:eastAsia="Times New Roman"/>
          <w:color w:val="000000"/>
          <w:sz w:val="28"/>
          <w:szCs w:val="28"/>
        </w:rPr>
        <w:softHyphen/>
        <w:t>дов по следующим основным направлениям:</w:t>
      </w:r>
    </w:p>
    <w:p w:rsidR="009D1274" w:rsidRPr="005774C0" w:rsidRDefault="009D1274" w:rsidP="009D1274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line="384" w:lineRule="exact"/>
        <w:ind w:firstLine="566"/>
        <w:jc w:val="both"/>
        <w:rPr>
          <w:color w:val="000000"/>
          <w:sz w:val="28"/>
          <w:szCs w:val="28"/>
        </w:rPr>
      </w:pPr>
      <w:r w:rsidRPr="005774C0">
        <w:rPr>
          <w:rFonts w:eastAsia="Times New Roman"/>
          <w:color w:val="000000"/>
          <w:sz w:val="28"/>
          <w:szCs w:val="28"/>
        </w:rPr>
        <w:t xml:space="preserve">мониторинг налогоплательщиков, снизивших поступления налога на </w:t>
      </w:r>
      <w:r w:rsidRPr="005774C0">
        <w:rPr>
          <w:rFonts w:eastAsia="Times New Roman"/>
          <w:color w:val="000000"/>
          <w:spacing w:val="-1"/>
          <w:sz w:val="28"/>
          <w:szCs w:val="28"/>
        </w:rPr>
        <w:t xml:space="preserve">доходы физических лиц, легализация «теневой» заработной платы, выявление </w:t>
      </w:r>
      <w:r w:rsidRPr="005774C0">
        <w:rPr>
          <w:rFonts w:eastAsia="Times New Roman"/>
          <w:color w:val="000000"/>
          <w:sz w:val="28"/>
          <w:szCs w:val="28"/>
        </w:rPr>
        <w:t>«конвертных» выплат и иных схем ухода от уплаты налога на доходы физи</w:t>
      </w:r>
      <w:r w:rsidRPr="005774C0">
        <w:rPr>
          <w:rFonts w:eastAsia="Times New Roman"/>
          <w:color w:val="000000"/>
          <w:sz w:val="28"/>
          <w:szCs w:val="28"/>
        </w:rPr>
        <w:softHyphen/>
        <w:t>ческих лиц;</w:t>
      </w:r>
    </w:p>
    <w:p w:rsidR="005774C0" w:rsidRDefault="007F14DA" w:rsidP="00CE626D">
      <w:pPr>
        <w:widowControl w:val="0"/>
        <w:shd w:val="clear" w:color="auto" w:fill="FFFFFF"/>
        <w:autoSpaceDE w:val="0"/>
        <w:autoSpaceDN w:val="0"/>
        <w:adjustRightInd w:val="0"/>
        <w:spacing w:line="384" w:lineRule="exact"/>
        <w:ind w:right="5"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3C3CA1">
        <w:rPr>
          <w:color w:val="000000"/>
          <w:sz w:val="28"/>
          <w:szCs w:val="28"/>
        </w:rPr>
        <w:t xml:space="preserve">продолжение работы по сокращению задолженности и недоимки по налогам в рамках работы, проводимой в соответствии с протоколами совместной коллегии Министерства финансов РТ, Управления Федеральной налоговой службы по РТ, Управления Федерального казначейства по РТ, а также продолжается </w:t>
      </w:r>
      <w:proofErr w:type="spellStart"/>
      <w:r w:rsidRPr="003C3CA1">
        <w:rPr>
          <w:color w:val="000000"/>
          <w:sz w:val="28"/>
          <w:szCs w:val="28"/>
        </w:rPr>
        <w:t>претензионно</w:t>
      </w:r>
      <w:proofErr w:type="spellEnd"/>
      <w:r w:rsidRPr="003C3CA1">
        <w:rPr>
          <w:color w:val="000000"/>
          <w:sz w:val="28"/>
          <w:szCs w:val="28"/>
        </w:rPr>
        <w:t>-исковая работа по снижению задолженности по арендным платежам за земельные участки и имущество</w:t>
      </w:r>
    </w:p>
    <w:p w:rsidR="00CE626D" w:rsidRPr="005774C0" w:rsidRDefault="00CE626D" w:rsidP="00CE626D">
      <w:pPr>
        <w:widowControl w:val="0"/>
        <w:shd w:val="clear" w:color="auto" w:fill="FFFFFF"/>
        <w:autoSpaceDE w:val="0"/>
        <w:autoSpaceDN w:val="0"/>
        <w:adjustRightInd w:val="0"/>
        <w:spacing w:line="384" w:lineRule="exact"/>
        <w:ind w:right="5" w:firstLine="566"/>
        <w:jc w:val="both"/>
        <w:rPr>
          <w:color w:val="000000"/>
          <w:sz w:val="28"/>
          <w:szCs w:val="28"/>
        </w:rPr>
      </w:pPr>
      <w:r w:rsidRPr="005774C0">
        <w:rPr>
          <w:rFonts w:eastAsia="Times New Roman"/>
          <w:color w:val="000000"/>
          <w:sz w:val="28"/>
          <w:szCs w:val="28"/>
        </w:rPr>
        <w:t xml:space="preserve">В соответствии с федеральным законодательством проводится </w:t>
      </w:r>
      <w:r w:rsidR="005774C0" w:rsidRPr="005774C0">
        <w:rPr>
          <w:rFonts w:eastAsia="Times New Roman"/>
          <w:color w:val="000000"/>
          <w:sz w:val="28"/>
          <w:szCs w:val="28"/>
        </w:rPr>
        <w:t>работа,</w:t>
      </w:r>
      <w:r w:rsidRPr="005774C0">
        <w:rPr>
          <w:rFonts w:eastAsia="Times New Roman"/>
          <w:color w:val="000000"/>
          <w:sz w:val="28"/>
          <w:szCs w:val="28"/>
        </w:rPr>
        <w:t xml:space="preserve"> по оценке эффективности налоговых расходов муниципального образования. Сформирован перечень налоговых расходов Республики Татарстан, которые закреплены за соответствующими кураторами. </w:t>
      </w:r>
    </w:p>
    <w:p w:rsidR="003807B4" w:rsidRDefault="00536A59" w:rsidP="003807B4">
      <w:pPr>
        <w:shd w:val="clear" w:color="auto" w:fill="FFFFFF"/>
        <w:spacing w:line="384" w:lineRule="exact"/>
        <w:ind w:firstLine="566"/>
        <w:jc w:val="both"/>
        <w:rPr>
          <w:sz w:val="28"/>
          <w:szCs w:val="28"/>
        </w:rPr>
      </w:pPr>
      <w:r w:rsidRPr="005774C0">
        <w:rPr>
          <w:sz w:val="28"/>
          <w:szCs w:val="28"/>
        </w:rPr>
        <w:t>Таким образом, задачами налоговой политики на 202</w:t>
      </w:r>
      <w:r w:rsidR="005774C0" w:rsidRPr="005774C0">
        <w:rPr>
          <w:sz w:val="28"/>
          <w:szCs w:val="28"/>
        </w:rPr>
        <w:t>2</w:t>
      </w:r>
      <w:r w:rsidRPr="005774C0">
        <w:rPr>
          <w:sz w:val="28"/>
          <w:szCs w:val="28"/>
        </w:rPr>
        <w:t xml:space="preserve">год и плановый </w:t>
      </w:r>
      <w:r w:rsidR="007B1318" w:rsidRPr="005774C0">
        <w:rPr>
          <w:sz w:val="28"/>
          <w:szCs w:val="28"/>
        </w:rPr>
        <w:t>период 202</w:t>
      </w:r>
      <w:r w:rsidR="005774C0" w:rsidRPr="005774C0">
        <w:rPr>
          <w:sz w:val="28"/>
          <w:szCs w:val="28"/>
        </w:rPr>
        <w:t>3</w:t>
      </w:r>
      <w:r w:rsidR="007B1318" w:rsidRPr="005774C0">
        <w:rPr>
          <w:sz w:val="28"/>
          <w:szCs w:val="28"/>
        </w:rPr>
        <w:t xml:space="preserve"> и </w:t>
      </w:r>
      <w:r w:rsidRPr="005774C0">
        <w:rPr>
          <w:sz w:val="28"/>
          <w:szCs w:val="28"/>
        </w:rPr>
        <w:t>202</w:t>
      </w:r>
      <w:r w:rsidR="005774C0" w:rsidRPr="005774C0">
        <w:rPr>
          <w:sz w:val="28"/>
          <w:szCs w:val="28"/>
        </w:rPr>
        <w:t>4</w:t>
      </w:r>
      <w:r w:rsidRPr="005774C0">
        <w:rPr>
          <w:sz w:val="28"/>
          <w:szCs w:val="28"/>
        </w:rPr>
        <w:t xml:space="preserve"> </w:t>
      </w:r>
      <w:r w:rsidR="005774C0" w:rsidRPr="005774C0">
        <w:rPr>
          <w:sz w:val="28"/>
          <w:szCs w:val="28"/>
        </w:rPr>
        <w:t>годов остается</w:t>
      </w:r>
      <w:r w:rsidRPr="005774C0">
        <w:rPr>
          <w:sz w:val="28"/>
          <w:szCs w:val="28"/>
        </w:rPr>
        <w:t xml:space="preserve"> поддержка инвестиций в экономику, </w:t>
      </w:r>
      <w:r w:rsidR="00CE626D" w:rsidRPr="005774C0">
        <w:rPr>
          <w:sz w:val="28"/>
          <w:szCs w:val="28"/>
        </w:rPr>
        <w:t xml:space="preserve">создание благоприятного инвестиционного климата. </w:t>
      </w:r>
      <w:r w:rsidR="00EE21A9" w:rsidRPr="005774C0">
        <w:rPr>
          <w:sz w:val="28"/>
          <w:szCs w:val="28"/>
        </w:rPr>
        <w:t>Кроме того, реализация социальной политики остается важным аспектом в области  налогообложения. Сохраняется важность продолжения последовательной реализации указанных мер налоговой политики по наращиванию доходной базы бюджета города, в том числе проведение работы по налоговым расходам на предмет эффективности</w:t>
      </w:r>
    </w:p>
    <w:p w:rsidR="00EA2B27" w:rsidRDefault="00EA2B27" w:rsidP="00EA2B27">
      <w:pPr>
        <w:spacing w:line="288" w:lineRule="auto"/>
        <w:ind w:firstLine="567"/>
        <w:jc w:val="both"/>
        <w:rPr>
          <w:sz w:val="28"/>
          <w:szCs w:val="28"/>
        </w:rPr>
      </w:pPr>
    </w:p>
    <w:p w:rsidR="00EA2B27" w:rsidRPr="00EA2B27" w:rsidRDefault="00C30F51" w:rsidP="00EA2B27">
      <w:pPr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A2B27" w:rsidRPr="002104EA">
        <w:rPr>
          <w:sz w:val="28"/>
          <w:szCs w:val="28"/>
        </w:rPr>
        <w:t xml:space="preserve">При расчете расходной части бюджета </w:t>
      </w:r>
      <w:r>
        <w:rPr>
          <w:sz w:val="28"/>
          <w:szCs w:val="28"/>
        </w:rPr>
        <w:t>муниципального образования «</w:t>
      </w:r>
      <w:r w:rsidR="00EA2B27">
        <w:rPr>
          <w:sz w:val="28"/>
          <w:szCs w:val="28"/>
        </w:rPr>
        <w:t>город Чистополь</w:t>
      </w:r>
      <w:r>
        <w:rPr>
          <w:sz w:val="28"/>
          <w:szCs w:val="28"/>
        </w:rPr>
        <w:t>»</w:t>
      </w:r>
      <w:r w:rsidR="00EA2B27">
        <w:rPr>
          <w:sz w:val="28"/>
          <w:szCs w:val="28"/>
        </w:rPr>
        <w:t xml:space="preserve"> </w:t>
      </w:r>
      <w:proofErr w:type="spellStart"/>
      <w:r w:rsidR="00EA2B27" w:rsidRPr="002104EA">
        <w:rPr>
          <w:sz w:val="28"/>
          <w:szCs w:val="28"/>
        </w:rPr>
        <w:t>Чистопольского</w:t>
      </w:r>
      <w:proofErr w:type="spellEnd"/>
      <w:r w:rsidR="00EA2B27" w:rsidRPr="002104EA">
        <w:rPr>
          <w:sz w:val="28"/>
          <w:szCs w:val="28"/>
        </w:rPr>
        <w:t xml:space="preserve"> муниципального района на 202</w:t>
      </w:r>
      <w:r w:rsidR="00EA2B27">
        <w:rPr>
          <w:sz w:val="28"/>
          <w:szCs w:val="28"/>
        </w:rPr>
        <w:t>2</w:t>
      </w:r>
      <w:r w:rsidR="00EA2B27" w:rsidRPr="002104EA">
        <w:rPr>
          <w:sz w:val="28"/>
          <w:szCs w:val="28"/>
        </w:rPr>
        <w:t xml:space="preserve"> – 202</w:t>
      </w:r>
      <w:r w:rsidR="00EA2B27">
        <w:rPr>
          <w:sz w:val="28"/>
          <w:szCs w:val="28"/>
        </w:rPr>
        <w:t>4</w:t>
      </w:r>
      <w:r w:rsidR="00EA2B27" w:rsidRPr="002104EA">
        <w:rPr>
          <w:sz w:val="28"/>
          <w:szCs w:val="28"/>
        </w:rPr>
        <w:t xml:space="preserve"> годы использованы </w:t>
      </w:r>
      <w:r w:rsidR="00EA2B27" w:rsidRPr="00EA2B27">
        <w:rPr>
          <w:sz w:val="28"/>
          <w:szCs w:val="28"/>
        </w:rPr>
        <w:t xml:space="preserve">рекомендованные Министерством финансов Республики Татарстан прогнозные показатели,  с применением следующих параметров и индексов:  </w:t>
      </w:r>
    </w:p>
    <w:p w:rsidR="00EA2B27" w:rsidRPr="004C69C0" w:rsidRDefault="00EA2B27" w:rsidP="00EA2B27">
      <w:pPr>
        <w:spacing w:line="288" w:lineRule="auto"/>
        <w:ind w:firstLine="709"/>
        <w:jc w:val="both"/>
        <w:rPr>
          <w:sz w:val="28"/>
          <w:szCs w:val="28"/>
        </w:rPr>
      </w:pPr>
      <w:r w:rsidRPr="002104EA">
        <w:rPr>
          <w:szCs w:val="28"/>
        </w:rPr>
        <w:t xml:space="preserve"> </w:t>
      </w:r>
    </w:p>
    <w:tbl>
      <w:tblPr>
        <w:tblW w:w="496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6"/>
        <w:gridCol w:w="1981"/>
        <w:gridCol w:w="1979"/>
        <w:gridCol w:w="1977"/>
      </w:tblGrid>
      <w:tr w:rsidR="00EA2B27" w:rsidRPr="00880422" w:rsidTr="00504E9E">
        <w:trPr>
          <w:trHeight w:val="561"/>
          <w:tblHeader/>
        </w:trPr>
        <w:tc>
          <w:tcPr>
            <w:tcW w:w="2090" w:type="pct"/>
            <w:vAlign w:val="center"/>
          </w:tcPr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88" w:lineRule="auto"/>
              <w:ind w:firstLine="709"/>
              <w:jc w:val="center"/>
            </w:pPr>
            <w:r w:rsidRPr="00880422">
              <w:t>Наименование</w:t>
            </w:r>
          </w:p>
        </w:tc>
        <w:tc>
          <w:tcPr>
            <w:tcW w:w="971" w:type="pct"/>
            <w:vAlign w:val="center"/>
          </w:tcPr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88" w:lineRule="auto"/>
              <w:ind w:firstLine="30"/>
              <w:jc w:val="center"/>
            </w:pPr>
            <w:r w:rsidRPr="00880422">
              <w:t>2022 год</w:t>
            </w:r>
          </w:p>
        </w:tc>
        <w:tc>
          <w:tcPr>
            <w:tcW w:w="970" w:type="pct"/>
            <w:vAlign w:val="center"/>
          </w:tcPr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88" w:lineRule="auto"/>
              <w:ind w:firstLine="30"/>
              <w:jc w:val="center"/>
            </w:pPr>
            <w:r w:rsidRPr="00880422">
              <w:t>2023 год</w:t>
            </w:r>
          </w:p>
        </w:tc>
        <w:tc>
          <w:tcPr>
            <w:tcW w:w="969" w:type="pct"/>
            <w:vAlign w:val="center"/>
          </w:tcPr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88" w:lineRule="auto"/>
              <w:ind w:firstLine="30"/>
              <w:jc w:val="center"/>
            </w:pPr>
            <w:r w:rsidRPr="00880422">
              <w:t>2024 год</w:t>
            </w:r>
          </w:p>
        </w:tc>
      </w:tr>
      <w:tr w:rsidR="00EA2B27" w:rsidRPr="00880422" w:rsidTr="00504E9E">
        <w:tc>
          <w:tcPr>
            <w:tcW w:w="2090" w:type="pct"/>
            <w:vAlign w:val="center"/>
          </w:tcPr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76" w:lineRule="auto"/>
            </w:pPr>
            <w:r w:rsidRPr="00880422">
              <w:t>Заработная плата работников муниципальных бюджетных и автономных учреждений</w:t>
            </w:r>
          </w:p>
        </w:tc>
        <w:tc>
          <w:tcPr>
            <w:tcW w:w="2910" w:type="pct"/>
            <w:gridSpan w:val="3"/>
          </w:tcPr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76" w:lineRule="auto"/>
              <w:ind w:firstLine="34"/>
              <w:jc w:val="center"/>
            </w:pPr>
            <w:r w:rsidRPr="00880422">
              <w:t xml:space="preserve">доведение </w:t>
            </w:r>
            <w:proofErr w:type="gramStart"/>
            <w:r w:rsidRPr="00880422">
              <w:t>до</w:t>
            </w:r>
            <w:proofErr w:type="gramEnd"/>
            <w:r w:rsidRPr="00880422">
              <w:t xml:space="preserve"> </w:t>
            </w:r>
            <w:proofErr w:type="gramStart"/>
            <w:r w:rsidRPr="00880422">
              <w:t>МРОТ</w:t>
            </w:r>
            <w:proofErr w:type="gramEnd"/>
            <w:r w:rsidRPr="00880422">
              <w:t xml:space="preserve"> с 1 января – ежегодно</w:t>
            </w:r>
          </w:p>
        </w:tc>
      </w:tr>
      <w:tr w:rsidR="00EA2B27" w:rsidRPr="00880422" w:rsidTr="00504E9E">
        <w:trPr>
          <w:trHeight w:val="522"/>
        </w:trPr>
        <w:tc>
          <w:tcPr>
            <w:tcW w:w="2090" w:type="pct"/>
          </w:tcPr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76" w:lineRule="auto"/>
            </w:pPr>
            <w:r w:rsidRPr="00880422">
              <w:lastRenderedPageBreak/>
              <w:t>Заработная плата отдельных категорий работников бюджетной сферы (обозначенных в Указах Президента Р</w:t>
            </w:r>
            <w:r w:rsidRPr="00880422">
              <w:rPr>
                <w:lang w:val="tt-RU"/>
              </w:rPr>
              <w:t>оссийской Федерации</w:t>
            </w:r>
            <w:r w:rsidRPr="00880422">
              <w:t xml:space="preserve"> от 07.05.2012 г.  №597, от 01.06.2012 г. №761, от 28.12.2012 г. №1688)</w:t>
            </w:r>
          </w:p>
        </w:tc>
        <w:tc>
          <w:tcPr>
            <w:tcW w:w="2910" w:type="pct"/>
            <w:gridSpan w:val="3"/>
          </w:tcPr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76" w:lineRule="auto"/>
              <w:ind w:firstLine="34"/>
              <w:jc w:val="center"/>
            </w:pPr>
            <w:r w:rsidRPr="00880422">
              <w:t>в соответствии с Указами Президента Р</w:t>
            </w:r>
            <w:r w:rsidRPr="00880422">
              <w:rPr>
                <w:lang w:val="tt-RU"/>
              </w:rPr>
              <w:t>оссийской Федерации</w:t>
            </w:r>
            <w:r w:rsidRPr="00880422">
              <w:t xml:space="preserve"> от 07.05.2012 г. №597, от 01.06.2012 г. №761, от 28.12.2012 г. №1688</w:t>
            </w:r>
          </w:p>
        </w:tc>
      </w:tr>
      <w:tr w:rsidR="00EA2B27" w:rsidRPr="00880422" w:rsidTr="00504E9E">
        <w:tc>
          <w:tcPr>
            <w:tcW w:w="2090" w:type="pct"/>
            <w:vAlign w:val="center"/>
          </w:tcPr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76" w:lineRule="auto"/>
              <w:rPr>
                <w:i/>
              </w:rPr>
            </w:pPr>
            <w:r w:rsidRPr="00880422">
              <w:t>Заработная плата в органах муниципального управления</w:t>
            </w:r>
          </w:p>
        </w:tc>
        <w:tc>
          <w:tcPr>
            <w:tcW w:w="2910" w:type="pct"/>
            <w:gridSpan w:val="3"/>
          </w:tcPr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76" w:lineRule="auto"/>
              <w:ind w:firstLine="34"/>
              <w:jc w:val="center"/>
            </w:pPr>
            <w:r w:rsidRPr="00880422">
              <w:t>на уровне 2021 года</w:t>
            </w:r>
          </w:p>
        </w:tc>
      </w:tr>
      <w:tr w:rsidR="00EA2B27" w:rsidRPr="00880422" w:rsidTr="00504E9E">
        <w:tc>
          <w:tcPr>
            <w:tcW w:w="2090" w:type="pct"/>
          </w:tcPr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76" w:lineRule="auto"/>
            </w:pPr>
            <w:r w:rsidRPr="00880422">
              <w:t xml:space="preserve">Публичные обязательства </w:t>
            </w:r>
          </w:p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76" w:lineRule="auto"/>
            </w:pPr>
            <w:r w:rsidRPr="00880422">
              <w:t>(денежные выплаты населению)</w:t>
            </w:r>
          </w:p>
        </w:tc>
        <w:tc>
          <w:tcPr>
            <w:tcW w:w="971" w:type="pct"/>
          </w:tcPr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</w:pPr>
            <w:r w:rsidRPr="00880422">
              <w:t>повышение с 01.01.2022г.</w:t>
            </w:r>
          </w:p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</w:pPr>
            <w:r w:rsidRPr="00880422">
              <w:t>на 4,0 %</w:t>
            </w:r>
          </w:p>
        </w:tc>
        <w:tc>
          <w:tcPr>
            <w:tcW w:w="970" w:type="pct"/>
          </w:tcPr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</w:pPr>
            <w:r w:rsidRPr="00880422">
              <w:t>повышение с 01.01.2023г.</w:t>
            </w:r>
          </w:p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</w:pPr>
            <w:r w:rsidRPr="00880422">
              <w:t>на 4,0 %</w:t>
            </w:r>
          </w:p>
        </w:tc>
        <w:tc>
          <w:tcPr>
            <w:tcW w:w="969" w:type="pct"/>
          </w:tcPr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</w:pPr>
            <w:r w:rsidRPr="00880422">
              <w:t>повышение с 01.01.2024г.</w:t>
            </w:r>
          </w:p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</w:pPr>
            <w:r w:rsidRPr="00880422">
              <w:t>на 4,0 %</w:t>
            </w:r>
          </w:p>
        </w:tc>
      </w:tr>
      <w:tr w:rsidR="00EA2B27" w:rsidRPr="00880422" w:rsidTr="00504E9E">
        <w:tc>
          <w:tcPr>
            <w:tcW w:w="2090" w:type="pct"/>
          </w:tcPr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76" w:lineRule="auto"/>
            </w:pPr>
            <w:r w:rsidRPr="00880422">
              <w:t>Продукты питания, медикаменты</w:t>
            </w:r>
          </w:p>
        </w:tc>
        <w:tc>
          <w:tcPr>
            <w:tcW w:w="971" w:type="pct"/>
          </w:tcPr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</w:pPr>
            <w:r w:rsidRPr="00880422">
              <w:t>повышение с 01.01.2022г.</w:t>
            </w:r>
          </w:p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</w:pPr>
            <w:r w:rsidRPr="00880422">
              <w:t>на 4,0 %</w:t>
            </w:r>
          </w:p>
        </w:tc>
        <w:tc>
          <w:tcPr>
            <w:tcW w:w="970" w:type="pct"/>
          </w:tcPr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</w:pPr>
            <w:r w:rsidRPr="00880422">
              <w:t>повышение с 01.01.2023г.</w:t>
            </w:r>
          </w:p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</w:pPr>
            <w:r w:rsidRPr="00880422">
              <w:t>на 4,0 %</w:t>
            </w:r>
          </w:p>
        </w:tc>
        <w:tc>
          <w:tcPr>
            <w:tcW w:w="969" w:type="pct"/>
          </w:tcPr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</w:pPr>
            <w:r w:rsidRPr="00880422">
              <w:t>повышение с 01.01.2024г.</w:t>
            </w:r>
          </w:p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</w:pPr>
            <w:r w:rsidRPr="00880422">
              <w:t>на 4,0 %</w:t>
            </w:r>
          </w:p>
        </w:tc>
      </w:tr>
      <w:tr w:rsidR="00EA2B27" w:rsidRPr="00880422" w:rsidTr="00504E9E">
        <w:tc>
          <w:tcPr>
            <w:tcW w:w="2090" w:type="pct"/>
          </w:tcPr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76" w:lineRule="auto"/>
            </w:pPr>
            <w:r w:rsidRPr="00880422">
              <w:t>Коммунальные услуги</w:t>
            </w:r>
          </w:p>
        </w:tc>
        <w:tc>
          <w:tcPr>
            <w:tcW w:w="971" w:type="pct"/>
          </w:tcPr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</w:pPr>
            <w:r w:rsidRPr="00880422">
              <w:t>повышение с 01.07.2022г.</w:t>
            </w:r>
          </w:p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</w:pPr>
            <w:r w:rsidRPr="00880422">
              <w:t>на 4,0 %</w:t>
            </w:r>
          </w:p>
        </w:tc>
        <w:tc>
          <w:tcPr>
            <w:tcW w:w="970" w:type="pct"/>
          </w:tcPr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</w:pPr>
            <w:r w:rsidRPr="00880422">
              <w:t>повышение с 01.07.2023г.</w:t>
            </w:r>
          </w:p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</w:pPr>
            <w:r w:rsidRPr="00880422">
              <w:t>на 4,0 %</w:t>
            </w:r>
          </w:p>
        </w:tc>
        <w:tc>
          <w:tcPr>
            <w:tcW w:w="969" w:type="pct"/>
          </w:tcPr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</w:pPr>
            <w:r w:rsidRPr="00880422">
              <w:t>повышение с 01.07.2024г.</w:t>
            </w:r>
          </w:p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</w:pPr>
            <w:r w:rsidRPr="00880422">
              <w:t>на 4,0 %</w:t>
            </w:r>
          </w:p>
        </w:tc>
      </w:tr>
      <w:tr w:rsidR="00EA2B27" w:rsidRPr="00880422" w:rsidTr="00504E9E">
        <w:tc>
          <w:tcPr>
            <w:tcW w:w="2090" w:type="pct"/>
          </w:tcPr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76" w:lineRule="auto"/>
            </w:pPr>
            <w:r w:rsidRPr="00880422">
              <w:t xml:space="preserve">Остальные расходы </w:t>
            </w:r>
          </w:p>
        </w:tc>
        <w:tc>
          <w:tcPr>
            <w:tcW w:w="2910" w:type="pct"/>
            <w:gridSpan w:val="3"/>
          </w:tcPr>
          <w:p w:rsidR="00EA2B27" w:rsidRPr="00880422" w:rsidRDefault="00EA2B27" w:rsidP="00504E9E">
            <w:pPr>
              <w:tabs>
                <w:tab w:val="center" w:pos="4536"/>
                <w:tab w:val="right" w:pos="9072"/>
              </w:tabs>
              <w:spacing w:line="276" w:lineRule="auto"/>
              <w:ind w:firstLine="34"/>
              <w:jc w:val="center"/>
            </w:pPr>
            <w:r w:rsidRPr="00880422">
              <w:t>на уровне 2021 года</w:t>
            </w:r>
          </w:p>
        </w:tc>
      </w:tr>
    </w:tbl>
    <w:p w:rsidR="00EA2B27" w:rsidRPr="0058737C" w:rsidRDefault="00EA2B27" w:rsidP="00EA2B27">
      <w:pPr>
        <w:pStyle w:val="1"/>
        <w:spacing w:line="264" w:lineRule="auto"/>
        <w:ind w:right="142"/>
        <w:jc w:val="both"/>
        <w:rPr>
          <w:szCs w:val="28"/>
        </w:rPr>
      </w:pPr>
    </w:p>
    <w:p w:rsidR="00EA2B27" w:rsidRDefault="00EA2B27" w:rsidP="00EA2B27">
      <w:pPr>
        <w:pStyle w:val="ad"/>
        <w:spacing w:line="288" w:lineRule="auto"/>
        <w:ind w:firstLine="709"/>
        <w:rPr>
          <w:rStyle w:val="a6"/>
          <w:rFonts w:eastAsia="Calibri"/>
          <w:b w:val="0"/>
          <w:sz w:val="28"/>
          <w:szCs w:val="28"/>
          <w:lang w:eastAsia="en-US"/>
        </w:rPr>
      </w:pPr>
      <w:r w:rsidRPr="0058737C">
        <w:rPr>
          <w:rStyle w:val="a6"/>
          <w:rFonts w:eastAsia="Calibri"/>
          <w:b w:val="0"/>
          <w:sz w:val="28"/>
          <w:szCs w:val="28"/>
          <w:lang w:eastAsia="en-US"/>
        </w:rPr>
        <w:t>По-прежнему будет необходимо решать задачи</w:t>
      </w:r>
      <w:r w:rsidRPr="0058737C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 </w:t>
      </w:r>
      <w:r w:rsidRPr="0058737C">
        <w:rPr>
          <w:rStyle w:val="a6"/>
          <w:rFonts w:eastAsia="Calibri"/>
          <w:b w:val="0"/>
          <w:sz w:val="28"/>
          <w:szCs w:val="28"/>
          <w:lang w:eastAsia="en-US"/>
        </w:rPr>
        <w:t xml:space="preserve">по обеспечению определенного уровня заработной платы работников бюджетной сферы. В частности, необходимо ежегодно обеспечивать достижение целевых показателей соотношения заработной платы данных работников со средней заработной платой по экономике, установленных Указом Президента Российской Федерации от 7 мая 2012 года № 597 «О мероприятиях по реализации государственной социальной политики». Одновременно необходимо обеспечить своевременное и в полном объеме увеличение заработной платы работникам бюджетной сферы в меру повышения минимального </w:t>
      </w:r>
      <w:proofErr w:type="gramStart"/>
      <w:r w:rsidRPr="0058737C">
        <w:rPr>
          <w:rStyle w:val="a6"/>
          <w:rFonts w:eastAsia="Calibri"/>
          <w:b w:val="0"/>
          <w:sz w:val="28"/>
          <w:szCs w:val="28"/>
          <w:lang w:eastAsia="en-US"/>
        </w:rPr>
        <w:t>размера оплаты труда</w:t>
      </w:r>
      <w:proofErr w:type="gramEnd"/>
      <w:r w:rsidRPr="0058737C">
        <w:rPr>
          <w:rStyle w:val="a6"/>
          <w:rFonts w:eastAsia="Calibri"/>
          <w:b w:val="0"/>
          <w:sz w:val="28"/>
          <w:szCs w:val="28"/>
          <w:lang w:eastAsia="en-US"/>
        </w:rPr>
        <w:t>.</w:t>
      </w:r>
    </w:p>
    <w:p w:rsidR="00EA2B27" w:rsidRPr="004C69C0" w:rsidRDefault="00EA2B27" w:rsidP="00EA2B27">
      <w:pPr>
        <w:pStyle w:val="ad"/>
        <w:spacing w:line="288" w:lineRule="auto"/>
        <w:ind w:firstLine="709"/>
        <w:rPr>
          <w:sz w:val="28"/>
          <w:szCs w:val="28"/>
        </w:rPr>
      </w:pPr>
      <w:r w:rsidRPr="004C69C0">
        <w:rPr>
          <w:sz w:val="28"/>
          <w:szCs w:val="28"/>
        </w:rPr>
        <w:t xml:space="preserve">Одним из важнейших условий обеспечения сбалансированности и устойчивости бюджетов всех уровней и одним из направлений бюджетной политики </w:t>
      </w:r>
      <w:r w:rsidR="00405810">
        <w:rPr>
          <w:sz w:val="28"/>
          <w:szCs w:val="28"/>
        </w:rPr>
        <w:t>города Чистополь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Pr="004C69C0">
        <w:rPr>
          <w:sz w:val="28"/>
          <w:szCs w:val="28"/>
        </w:rPr>
        <w:t xml:space="preserve">продолжит оставаться безусловное соблюдение подхода, в соответствии с которым не допускается принятие решений, приводящих к увеличению расходных обязательств при отсутствии объективной возможности обеспечения их финансирования. В рамках формирования проекта бюджета </w:t>
      </w:r>
      <w:r w:rsidR="00723308">
        <w:rPr>
          <w:sz w:val="28"/>
          <w:szCs w:val="28"/>
        </w:rPr>
        <w:t xml:space="preserve">города </w:t>
      </w:r>
      <w:r>
        <w:rPr>
          <w:sz w:val="28"/>
          <w:szCs w:val="28"/>
        </w:rPr>
        <w:t xml:space="preserve">Чистополь </w:t>
      </w:r>
      <w:r w:rsidRPr="004C69C0">
        <w:rPr>
          <w:sz w:val="28"/>
          <w:szCs w:val="28"/>
        </w:rPr>
        <w:t xml:space="preserve"> при рассмотрении вопросов, связанных с принятием дополнительных расходных обязательств, сохраняются принятые в предыдущие годы подходы, направленные на исключение возникновения несбалансированности бюджета. Инициативы и предложения по принятию новых расходных обязательств должны рассматриваться исключительно после соответствующей оценки их эффективности, пересмотра нормативных правовых актов, устанавливающих действующие расходные обязательства, и учитываться только при условии обеспечения соответствующими источниками финансирования.</w:t>
      </w:r>
    </w:p>
    <w:p w:rsidR="00EA2B27" w:rsidRPr="0058737C" w:rsidRDefault="00EA2B27" w:rsidP="00EA2B27">
      <w:pPr>
        <w:pStyle w:val="ad"/>
        <w:spacing w:line="288" w:lineRule="auto"/>
        <w:ind w:firstLine="709"/>
        <w:rPr>
          <w:sz w:val="28"/>
          <w:szCs w:val="28"/>
        </w:rPr>
      </w:pPr>
      <w:r w:rsidRPr="004C69C0">
        <w:rPr>
          <w:sz w:val="28"/>
          <w:szCs w:val="28"/>
        </w:rPr>
        <w:t>В предстоящий трехлетний период продолжит оставаться актуальным рассмотрение вопросов, связанных с обеспечением эффективности бюджетных расходов, и реализация подходов, направленных на поиск резервов в процессе формирования и исполнения расходной части бюджета. Данная работа будет являться одним из условий для максимально полного обеспечения тех расходов, которые были признаны необходимыми и целесообразными, а также для поддержания оптимального соотношения текущих расходов и расходов капитального характера.</w:t>
      </w:r>
    </w:p>
    <w:p w:rsidR="00EA2B27" w:rsidRPr="00E126F2" w:rsidRDefault="00EA2B27" w:rsidP="00EA2B27">
      <w:pPr>
        <w:spacing w:line="288" w:lineRule="auto"/>
        <w:ind w:firstLine="567"/>
        <w:jc w:val="both"/>
        <w:rPr>
          <w:rStyle w:val="a6"/>
          <w:rFonts w:eastAsia="Calibri"/>
          <w:b w:val="0"/>
          <w:bCs w:val="0"/>
          <w:sz w:val="28"/>
          <w:szCs w:val="28"/>
          <w:lang w:eastAsia="en-US"/>
        </w:rPr>
      </w:pPr>
      <w:r w:rsidRPr="002104EA">
        <w:rPr>
          <w:rStyle w:val="a6"/>
          <w:rFonts w:eastAsia="Calibri"/>
          <w:b w:val="0"/>
          <w:sz w:val="28"/>
          <w:szCs w:val="28"/>
          <w:lang w:eastAsia="en-US"/>
        </w:rPr>
        <w:t>Продолжает сохранят</w:t>
      </w:r>
      <w:r w:rsidRPr="00E126F2">
        <w:rPr>
          <w:rStyle w:val="a6"/>
          <w:rFonts w:eastAsia="Calibri"/>
          <w:b w:val="0"/>
          <w:sz w:val="28"/>
          <w:szCs w:val="28"/>
          <w:lang w:eastAsia="en-US"/>
        </w:rPr>
        <w:t>ь свою актуальность задача по повышению качества оказываемых муниципальных услуг. Одним из актуальных направлений работы продолжает оставаться повышенное внимание к вопросам получения муниципальными организациями доходов от оказания платных услуг.</w:t>
      </w:r>
    </w:p>
    <w:p w:rsidR="00EA2B27" w:rsidRPr="00E126F2" w:rsidRDefault="00EA2B27" w:rsidP="00EA2B27">
      <w:pPr>
        <w:spacing w:line="288" w:lineRule="auto"/>
        <w:ind w:firstLine="567"/>
        <w:jc w:val="both"/>
        <w:rPr>
          <w:rStyle w:val="a6"/>
          <w:rFonts w:eastAsia="Calibri"/>
          <w:b w:val="0"/>
          <w:sz w:val="28"/>
          <w:szCs w:val="28"/>
          <w:lang w:eastAsia="en-US"/>
        </w:rPr>
      </w:pPr>
      <w:r w:rsidRPr="00E126F2">
        <w:rPr>
          <w:rStyle w:val="a6"/>
          <w:rFonts w:eastAsia="Calibri"/>
          <w:b w:val="0"/>
          <w:sz w:val="28"/>
          <w:szCs w:val="28"/>
          <w:lang w:eastAsia="en-US"/>
        </w:rPr>
        <w:t>В последние годы, а также в предстоящий трехлетний период 202</w:t>
      </w:r>
      <w:r>
        <w:rPr>
          <w:rStyle w:val="a6"/>
          <w:rFonts w:eastAsia="Calibri"/>
          <w:b w:val="0"/>
          <w:sz w:val="28"/>
          <w:szCs w:val="28"/>
          <w:lang w:eastAsia="en-US"/>
        </w:rPr>
        <w:t>2</w:t>
      </w:r>
      <w:r w:rsidRPr="00E126F2">
        <w:rPr>
          <w:rStyle w:val="a6"/>
          <w:rFonts w:eastAsia="Calibri"/>
          <w:b w:val="0"/>
          <w:sz w:val="28"/>
          <w:szCs w:val="28"/>
          <w:lang w:eastAsia="en-US"/>
        </w:rPr>
        <w:t xml:space="preserve"> – 202</w:t>
      </w:r>
      <w:r>
        <w:rPr>
          <w:rStyle w:val="a6"/>
          <w:rFonts w:eastAsia="Calibri"/>
          <w:b w:val="0"/>
          <w:sz w:val="28"/>
          <w:szCs w:val="28"/>
          <w:lang w:eastAsia="en-US"/>
        </w:rPr>
        <w:t>4</w:t>
      </w:r>
      <w:r w:rsidRPr="00E126F2">
        <w:rPr>
          <w:rStyle w:val="a6"/>
          <w:rFonts w:eastAsia="Calibri"/>
          <w:b w:val="0"/>
          <w:sz w:val="28"/>
          <w:szCs w:val="28"/>
          <w:lang w:eastAsia="en-US"/>
        </w:rPr>
        <w:t xml:space="preserve"> годов усиливается значимость такого направления бюджетной политики, как повышение открытости и прозрачности бюджетов всех уровней и финансовой деятельности публично-правовых образований в целом. </w:t>
      </w:r>
    </w:p>
    <w:p w:rsidR="00EA2B27" w:rsidRDefault="00EA2B27" w:rsidP="00EA2B27">
      <w:pPr>
        <w:pStyle w:val="ad"/>
        <w:spacing w:line="288" w:lineRule="auto"/>
        <w:ind w:right="-57" w:firstLine="567"/>
        <w:rPr>
          <w:sz w:val="28"/>
          <w:szCs w:val="28"/>
        </w:rPr>
      </w:pPr>
      <w:r w:rsidRPr="00E126F2">
        <w:rPr>
          <w:sz w:val="28"/>
          <w:szCs w:val="28"/>
        </w:rPr>
        <w:t>В целях обеспечения достижения большей степени прозрачности и создания единой системы</w:t>
      </w:r>
      <w:r w:rsidR="00516423">
        <w:rPr>
          <w:sz w:val="28"/>
          <w:szCs w:val="28"/>
        </w:rPr>
        <w:t>,</w:t>
      </w:r>
      <w:r w:rsidRPr="00E126F2">
        <w:rPr>
          <w:sz w:val="28"/>
          <w:szCs w:val="28"/>
        </w:rPr>
        <w:t xml:space="preserve"> формирования ряда направлений расходной части бюджета,  будет продолжена работа, инициированная в настоящее время, по сопровождению функционирования централизованной системы бухгалтерского учета и расчета заработной платы в муниципальных учреждениях.</w:t>
      </w:r>
      <w:r w:rsidRPr="00222ADD">
        <w:rPr>
          <w:sz w:val="28"/>
          <w:szCs w:val="28"/>
        </w:rPr>
        <w:t xml:space="preserve"> </w:t>
      </w:r>
    </w:p>
    <w:p w:rsidR="00EA2B27" w:rsidRPr="004C69C0" w:rsidRDefault="00EA2B27" w:rsidP="00EA2B27">
      <w:pPr>
        <w:pStyle w:val="ad"/>
        <w:spacing w:line="288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C69C0">
        <w:rPr>
          <w:sz w:val="28"/>
          <w:szCs w:val="28"/>
        </w:rPr>
        <w:t xml:space="preserve">Таким образом, реализация необходимых мероприятий в рамках обозначенных направлений бюджетной политики должна обеспечить решение основной задачи на предстоящий трехлетний период 2022 – 2024 годов по поддержанию условий для долгосрочной сбалансированности и устойчивости бюджетной системы </w:t>
      </w:r>
      <w:r w:rsidR="0000008D">
        <w:rPr>
          <w:sz w:val="28"/>
          <w:szCs w:val="28"/>
        </w:rPr>
        <w:t>города</w:t>
      </w:r>
      <w:r w:rsidRPr="004C69C0">
        <w:rPr>
          <w:sz w:val="28"/>
          <w:szCs w:val="28"/>
        </w:rPr>
        <w:t>.</w:t>
      </w:r>
    </w:p>
    <w:p w:rsidR="00EA2B27" w:rsidRPr="00684B67" w:rsidRDefault="00EA2B27" w:rsidP="003807B4">
      <w:pPr>
        <w:shd w:val="clear" w:color="auto" w:fill="FFFFFF"/>
        <w:spacing w:line="384" w:lineRule="exact"/>
        <w:ind w:firstLine="566"/>
        <w:jc w:val="both"/>
        <w:rPr>
          <w:sz w:val="28"/>
          <w:szCs w:val="28"/>
        </w:rPr>
      </w:pPr>
    </w:p>
    <w:sectPr w:rsidR="00EA2B27" w:rsidRPr="00684B67" w:rsidSect="00684B67">
      <w:headerReference w:type="default" r:id="rId9"/>
      <w:pgSz w:w="11906" w:h="16838"/>
      <w:pgMar w:top="851" w:right="70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615" w:rsidRDefault="00535615" w:rsidP="007F2447">
      <w:r>
        <w:separator/>
      </w:r>
    </w:p>
  </w:endnote>
  <w:endnote w:type="continuationSeparator" w:id="0">
    <w:p w:rsidR="00535615" w:rsidRDefault="00535615" w:rsidP="007F2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615" w:rsidRDefault="00535615" w:rsidP="007F2447">
      <w:r>
        <w:separator/>
      </w:r>
    </w:p>
  </w:footnote>
  <w:footnote w:type="continuationSeparator" w:id="0">
    <w:p w:rsidR="00535615" w:rsidRDefault="00535615" w:rsidP="007F24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615" w:rsidRDefault="005774C0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05810">
      <w:rPr>
        <w:noProof/>
      </w:rPr>
      <w:t>3</w:t>
    </w:r>
    <w:r>
      <w:rPr>
        <w:noProof/>
      </w:rPr>
      <w:fldChar w:fldCharType="end"/>
    </w:r>
  </w:p>
  <w:p w:rsidR="00535615" w:rsidRDefault="00535615" w:rsidP="008E086E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D80524C"/>
    <w:lvl w:ilvl="0">
      <w:numFmt w:val="bullet"/>
      <w:lvlText w:val="*"/>
      <w:lvlJc w:val="left"/>
    </w:lvl>
  </w:abstractNum>
  <w:abstractNum w:abstractNumId="1">
    <w:nsid w:val="7D991E45"/>
    <w:multiLevelType w:val="hybridMultilevel"/>
    <w:tmpl w:val="F912D0EC"/>
    <w:lvl w:ilvl="0" w:tplc="3A58B74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5F74"/>
    <w:rsid w:val="0000008D"/>
    <w:rsid w:val="00001EDC"/>
    <w:rsid w:val="00011A35"/>
    <w:rsid w:val="000128DB"/>
    <w:rsid w:val="00013177"/>
    <w:rsid w:val="0001426B"/>
    <w:rsid w:val="000143DF"/>
    <w:rsid w:val="00023359"/>
    <w:rsid w:val="00024AA7"/>
    <w:rsid w:val="00034CBC"/>
    <w:rsid w:val="00037D65"/>
    <w:rsid w:val="00042ACD"/>
    <w:rsid w:val="00045249"/>
    <w:rsid w:val="0004618C"/>
    <w:rsid w:val="00051474"/>
    <w:rsid w:val="00052154"/>
    <w:rsid w:val="00052167"/>
    <w:rsid w:val="00053284"/>
    <w:rsid w:val="00057656"/>
    <w:rsid w:val="00057AE6"/>
    <w:rsid w:val="00062E85"/>
    <w:rsid w:val="0006498E"/>
    <w:rsid w:val="0006635E"/>
    <w:rsid w:val="00066D1E"/>
    <w:rsid w:val="0007574E"/>
    <w:rsid w:val="00075F14"/>
    <w:rsid w:val="00081CAC"/>
    <w:rsid w:val="000825D1"/>
    <w:rsid w:val="0008619A"/>
    <w:rsid w:val="00087686"/>
    <w:rsid w:val="00093177"/>
    <w:rsid w:val="000A04B7"/>
    <w:rsid w:val="000B6471"/>
    <w:rsid w:val="000C2741"/>
    <w:rsid w:val="000C780B"/>
    <w:rsid w:val="000D384E"/>
    <w:rsid w:val="000D5AE2"/>
    <w:rsid w:val="000D7BCA"/>
    <w:rsid w:val="000E11FF"/>
    <w:rsid w:val="000E31F7"/>
    <w:rsid w:val="000F1729"/>
    <w:rsid w:val="000F2E1B"/>
    <w:rsid w:val="000F7ED1"/>
    <w:rsid w:val="00102B17"/>
    <w:rsid w:val="00102D93"/>
    <w:rsid w:val="00110452"/>
    <w:rsid w:val="00110964"/>
    <w:rsid w:val="00112B33"/>
    <w:rsid w:val="00113F28"/>
    <w:rsid w:val="00113FF5"/>
    <w:rsid w:val="0011475A"/>
    <w:rsid w:val="00116D67"/>
    <w:rsid w:val="00124D71"/>
    <w:rsid w:val="00126EF9"/>
    <w:rsid w:val="00133325"/>
    <w:rsid w:val="0014183E"/>
    <w:rsid w:val="001461DC"/>
    <w:rsid w:val="00146710"/>
    <w:rsid w:val="00150665"/>
    <w:rsid w:val="00160A39"/>
    <w:rsid w:val="001633F1"/>
    <w:rsid w:val="00166FDC"/>
    <w:rsid w:val="001670FC"/>
    <w:rsid w:val="001737F0"/>
    <w:rsid w:val="0017553E"/>
    <w:rsid w:val="0018626B"/>
    <w:rsid w:val="00191AA5"/>
    <w:rsid w:val="001973A4"/>
    <w:rsid w:val="00197A25"/>
    <w:rsid w:val="001A562E"/>
    <w:rsid w:val="001B6FE3"/>
    <w:rsid w:val="001C251A"/>
    <w:rsid w:val="001D3856"/>
    <w:rsid w:val="001D55DA"/>
    <w:rsid w:val="001D5C01"/>
    <w:rsid w:val="001D6A01"/>
    <w:rsid w:val="001D6F8C"/>
    <w:rsid w:val="001F2265"/>
    <w:rsid w:val="001F3FEE"/>
    <w:rsid w:val="00210DEB"/>
    <w:rsid w:val="0021390E"/>
    <w:rsid w:val="002139C9"/>
    <w:rsid w:val="00215B94"/>
    <w:rsid w:val="00216705"/>
    <w:rsid w:val="002235C7"/>
    <w:rsid w:val="0022438A"/>
    <w:rsid w:val="0022746E"/>
    <w:rsid w:val="0023071B"/>
    <w:rsid w:val="00235343"/>
    <w:rsid w:val="002366E6"/>
    <w:rsid w:val="00236C59"/>
    <w:rsid w:val="0024142C"/>
    <w:rsid w:val="002422F4"/>
    <w:rsid w:val="00246475"/>
    <w:rsid w:val="002522AA"/>
    <w:rsid w:val="00252C00"/>
    <w:rsid w:val="00254D51"/>
    <w:rsid w:val="00254DC1"/>
    <w:rsid w:val="00262323"/>
    <w:rsid w:val="00262A44"/>
    <w:rsid w:val="00265AEE"/>
    <w:rsid w:val="002769D4"/>
    <w:rsid w:val="002A12C1"/>
    <w:rsid w:val="002A2DCB"/>
    <w:rsid w:val="002A2FB6"/>
    <w:rsid w:val="002A3C81"/>
    <w:rsid w:val="002A6A0F"/>
    <w:rsid w:val="002A76D9"/>
    <w:rsid w:val="002B4C40"/>
    <w:rsid w:val="002C223A"/>
    <w:rsid w:val="002C76F1"/>
    <w:rsid w:val="002D2866"/>
    <w:rsid w:val="002D6D61"/>
    <w:rsid w:val="002D7D37"/>
    <w:rsid w:val="002E4754"/>
    <w:rsid w:val="002F3440"/>
    <w:rsid w:val="002F5957"/>
    <w:rsid w:val="003005EA"/>
    <w:rsid w:val="003055CB"/>
    <w:rsid w:val="00311902"/>
    <w:rsid w:val="00312489"/>
    <w:rsid w:val="0032098E"/>
    <w:rsid w:val="00322A0F"/>
    <w:rsid w:val="0032376E"/>
    <w:rsid w:val="003253BF"/>
    <w:rsid w:val="003325CE"/>
    <w:rsid w:val="00337278"/>
    <w:rsid w:val="003401FF"/>
    <w:rsid w:val="0034218E"/>
    <w:rsid w:val="0035415D"/>
    <w:rsid w:val="00354DC4"/>
    <w:rsid w:val="00357F66"/>
    <w:rsid w:val="0036386B"/>
    <w:rsid w:val="00363C1D"/>
    <w:rsid w:val="00372E64"/>
    <w:rsid w:val="00374608"/>
    <w:rsid w:val="0037639A"/>
    <w:rsid w:val="003773A0"/>
    <w:rsid w:val="003807B4"/>
    <w:rsid w:val="003823D0"/>
    <w:rsid w:val="00385916"/>
    <w:rsid w:val="00387A0F"/>
    <w:rsid w:val="003A14C9"/>
    <w:rsid w:val="003A6150"/>
    <w:rsid w:val="003A6178"/>
    <w:rsid w:val="003B5CDC"/>
    <w:rsid w:val="003B74AD"/>
    <w:rsid w:val="003C6259"/>
    <w:rsid w:val="003C6828"/>
    <w:rsid w:val="003E0B13"/>
    <w:rsid w:val="003F13E5"/>
    <w:rsid w:val="003F4678"/>
    <w:rsid w:val="003F6E07"/>
    <w:rsid w:val="003F7121"/>
    <w:rsid w:val="00402AA8"/>
    <w:rsid w:val="00405810"/>
    <w:rsid w:val="004068ED"/>
    <w:rsid w:val="004108A2"/>
    <w:rsid w:val="004114AD"/>
    <w:rsid w:val="00413475"/>
    <w:rsid w:val="00415119"/>
    <w:rsid w:val="00416940"/>
    <w:rsid w:val="00416C96"/>
    <w:rsid w:val="00424ADD"/>
    <w:rsid w:val="0042537E"/>
    <w:rsid w:val="004256BC"/>
    <w:rsid w:val="004316FF"/>
    <w:rsid w:val="00432C77"/>
    <w:rsid w:val="0044008E"/>
    <w:rsid w:val="00442796"/>
    <w:rsid w:val="0044321C"/>
    <w:rsid w:val="00443419"/>
    <w:rsid w:val="00445861"/>
    <w:rsid w:val="00446475"/>
    <w:rsid w:val="00455155"/>
    <w:rsid w:val="004562E8"/>
    <w:rsid w:val="00456807"/>
    <w:rsid w:val="00460DFF"/>
    <w:rsid w:val="00461645"/>
    <w:rsid w:val="0046178D"/>
    <w:rsid w:val="00461CAE"/>
    <w:rsid w:val="004634D0"/>
    <w:rsid w:val="0046489A"/>
    <w:rsid w:val="004652CA"/>
    <w:rsid w:val="0046598E"/>
    <w:rsid w:val="00467C14"/>
    <w:rsid w:val="00474287"/>
    <w:rsid w:val="00474678"/>
    <w:rsid w:val="00477F08"/>
    <w:rsid w:val="00483D90"/>
    <w:rsid w:val="004873E7"/>
    <w:rsid w:val="0049161B"/>
    <w:rsid w:val="0049232C"/>
    <w:rsid w:val="00495E9F"/>
    <w:rsid w:val="00496DD5"/>
    <w:rsid w:val="00497507"/>
    <w:rsid w:val="004A2D08"/>
    <w:rsid w:val="004A2D8C"/>
    <w:rsid w:val="004B40B7"/>
    <w:rsid w:val="004B6C1D"/>
    <w:rsid w:val="004C0BFD"/>
    <w:rsid w:val="004C1EDF"/>
    <w:rsid w:val="004D355D"/>
    <w:rsid w:val="004E44F0"/>
    <w:rsid w:val="004E7786"/>
    <w:rsid w:val="004F1899"/>
    <w:rsid w:val="004F6487"/>
    <w:rsid w:val="0050388A"/>
    <w:rsid w:val="00505A23"/>
    <w:rsid w:val="00506CE2"/>
    <w:rsid w:val="0051513B"/>
    <w:rsid w:val="00516423"/>
    <w:rsid w:val="00520755"/>
    <w:rsid w:val="00520BF3"/>
    <w:rsid w:val="0052309F"/>
    <w:rsid w:val="00530636"/>
    <w:rsid w:val="00535615"/>
    <w:rsid w:val="005359F9"/>
    <w:rsid w:val="00536A59"/>
    <w:rsid w:val="0054221A"/>
    <w:rsid w:val="005436C2"/>
    <w:rsid w:val="005500A2"/>
    <w:rsid w:val="005500FB"/>
    <w:rsid w:val="005510F8"/>
    <w:rsid w:val="0055519E"/>
    <w:rsid w:val="00560035"/>
    <w:rsid w:val="0056355A"/>
    <w:rsid w:val="005664D6"/>
    <w:rsid w:val="00567835"/>
    <w:rsid w:val="00567DB3"/>
    <w:rsid w:val="00571726"/>
    <w:rsid w:val="005725AB"/>
    <w:rsid w:val="005774C0"/>
    <w:rsid w:val="005800E2"/>
    <w:rsid w:val="0058594C"/>
    <w:rsid w:val="00592F2C"/>
    <w:rsid w:val="00594B97"/>
    <w:rsid w:val="005A1E2B"/>
    <w:rsid w:val="005A5F45"/>
    <w:rsid w:val="005A5F74"/>
    <w:rsid w:val="005A7995"/>
    <w:rsid w:val="005A7E6E"/>
    <w:rsid w:val="005B214C"/>
    <w:rsid w:val="005B3910"/>
    <w:rsid w:val="005B4FBD"/>
    <w:rsid w:val="005B66AD"/>
    <w:rsid w:val="005B6D18"/>
    <w:rsid w:val="005C0667"/>
    <w:rsid w:val="005C2EED"/>
    <w:rsid w:val="005C31EC"/>
    <w:rsid w:val="005C57B8"/>
    <w:rsid w:val="005C6678"/>
    <w:rsid w:val="005C6F5D"/>
    <w:rsid w:val="005C70E4"/>
    <w:rsid w:val="005D198A"/>
    <w:rsid w:val="005D3B40"/>
    <w:rsid w:val="005D57DA"/>
    <w:rsid w:val="005D6143"/>
    <w:rsid w:val="005E2EBD"/>
    <w:rsid w:val="005F25FF"/>
    <w:rsid w:val="005F4243"/>
    <w:rsid w:val="00602115"/>
    <w:rsid w:val="00607957"/>
    <w:rsid w:val="00607F53"/>
    <w:rsid w:val="00611492"/>
    <w:rsid w:val="00620C04"/>
    <w:rsid w:val="00622823"/>
    <w:rsid w:val="00625E3B"/>
    <w:rsid w:val="00630BBF"/>
    <w:rsid w:val="0063107A"/>
    <w:rsid w:val="00631BB5"/>
    <w:rsid w:val="006325DE"/>
    <w:rsid w:val="00640E3F"/>
    <w:rsid w:val="0064368A"/>
    <w:rsid w:val="00643E7A"/>
    <w:rsid w:val="00646ECD"/>
    <w:rsid w:val="00655EC0"/>
    <w:rsid w:val="00667B20"/>
    <w:rsid w:val="0067364D"/>
    <w:rsid w:val="0068003A"/>
    <w:rsid w:val="006832B5"/>
    <w:rsid w:val="00684B67"/>
    <w:rsid w:val="006919F6"/>
    <w:rsid w:val="00692328"/>
    <w:rsid w:val="00694B22"/>
    <w:rsid w:val="00696C21"/>
    <w:rsid w:val="006A15EC"/>
    <w:rsid w:val="006A2E97"/>
    <w:rsid w:val="006A4638"/>
    <w:rsid w:val="006B29BA"/>
    <w:rsid w:val="006B320E"/>
    <w:rsid w:val="006B373D"/>
    <w:rsid w:val="006B5551"/>
    <w:rsid w:val="006B6B1C"/>
    <w:rsid w:val="006D4DC4"/>
    <w:rsid w:val="006D5B9B"/>
    <w:rsid w:val="006E1F24"/>
    <w:rsid w:val="006E59E7"/>
    <w:rsid w:val="006F2965"/>
    <w:rsid w:val="0070030E"/>
    <w:rsid w:val="00702166"/>
    <w:rsid w:val="0071039F"/>
    <w:rsid w:val="00710D54"/>
    <w:rsid w:val="00711283"/>
    <w:rsid w:val="00711AA6"/>
    <w:rsid w:val="007132E4"/>
    <w:rsid w:val="0071606F"/>
    <w:rsid w:val="0071741E"/>
    <w:rsid w:val="007201DA"/>
    <w:rsid w:val="007210CF"/>
    <w:rsid w:val="00723308"/>
    <w:rsid w:val="007264E7"/>
    <w:rsid w:val="0073340B"/>
    <w:rsid w:val="00734412"/>
    <w:rsid w:val="007457F9"/>
    <w:rsid w:val="00752F1F"/>
    <w:rsid w:val="00756B4A"/>
    <w:rsid w:val="00757518"/>
    <w:rsid w:val="007575AF"/>
    <w:rsid w:val="00762E02"/>
    <w:rsid w:val="00766435"/>
    <w:rsid w:val="00772CD6"/>
    <w:rsid w:val="007748C9"/>
    <w:rsid w:val="00774BDF"/>
    <w:rsid w:val="00775773"/>
    <w:rsid w:val="00780D6F"/>
    <w:rsid w:val="00781D9D"/>
    <w:rsid w:val="00782D70"/>
    <w:rsid w:val="007873AA"/>
    <w:rsid w:val="00793985"/>
    <w:rsid w:val="00794160"/>
    <w:rsid w:val="00794657"/>
    <w:rsid w:val="007A69EA"/>
    <w:rsid w:val="007B1318"/>
    <w:rsid w:val="007B5B22"/>
    <w:rsid w:val="007B5E96"/>
    <w:rsid w:val="007C04CF"/>
    <w:rsid w:val="007D0F59"/>
    <w:rsid w:val="007D3D8A"/>
    <w:rsid w:val="007E281F"/>
    <w:rsid w:val="007E4C1D"/>
    <w:rsid w:val="007F14DA"/>
    <w:rsid w:val="007F2447"/>
    <w:rsid w:val="007F5788"/>
    <w:rsid w:val="007F643F"/>
    <w:rsid w:val="007F762F"/>
    <w:rsid w:val="008028DE"/>
    <w:rsid w:val="00803636"/>
    <w:rsid w:val="00803783"/>
    <w:rsid w:val="008065A0"/>
    <w:rsid w:val="008112AE"/>
    <w:rsid w:val="00813B20"/>
    <w:rsid w:val="00815847"/>
    <w:rsid w:val="00823083"/>
    <w:rsid w:val="008300EB"/>
    <w:rsid w:val="008324BE"/>
    <w:rsid w:val="00834B40"/>
    <w:rsid w:val="008371DA"/>
    <w:rsid w:val="00841FE5"/>
    <w:rsid w:val="00842B47"/>
    <w:rsid w:val="00843F46"/>
    <w:rsid w:val="008478C0"/>
    <w:rsid w:val="00847ED2"/>
    <w:rsid w:val="0085028A"/>
    <w:rsid w:val="00850BA4"/>
    <w:rsid w:val="00853E87"/>
    <w:rsid w:val="008559B1"/>
    <w:rsid w:val="008615C6"/>
    <w:rsid w:val="0086495D"/>
    <w:rsid w:val="008708BF"/>
    <w:rsid w:val="00871656"/>
    <w:rsid w:val="008717C5"/>
    <w:rsid w:val="00874B11"/>
    <w:rsid w:val="00876384"/>
    <w:rsid w:val="00885593"/>
    <w:rsid w:val="00890910"/>
    <w:rsid w:val="008953AC"/>
    <w:rsid w:val="008B329C"/>
    <w:rsid w:val="008C08AA"/>
    <w:rsid w:val="008C0D04"/>
    <w:rsid w:val="008C2749"/>
    <w:rsid w:val="008C29A0"/>
    <w:rsid w:val="008C4F38"/>
    <w:rsid w:val="008D0534"/>
    <w:rsid w:val="008D2CED"/>
    <w:rsid w:val="008D46E5"/>
    <w:rsid w:val="008D5E6D"/>
    <w:rsid w:val="008E086E"/>
    <w:rsid w:val="008E1056"/>
    <w:rsid w:val="008E329E"/>
    <w:rsid w:val="008F3EC0"/>
    <w:rsid w:val="008F3EE6"/>
    <w:rsid w:val="00901CCB"/>
    <w:rsid w:val="00901E6D"/>
    <w:rsid w:val="00902900"/>
    <w:rsid w:val="00903F51"/>
    <w:rsid w:val="0090763F"/>
    <w:rsid w:val="0091008B"/>
    <w:rsid w:val="009115FF"/>
    <w:rsid w:val="0091507F"/>
    <w:rsid w:val="00917911"/>
    <w:rsid w:val="009227D3"/>
    <w:rsid w:val="00925610"/>
    <w:rsid w:val="00925F09"/>
    <w:rsid w:val="0092603F"/>
    <w:rsid w:val="009301E2"/>
    <w:rsid w:val="0093752B"/>
    <w:rsid w:val="0093784B"/>
    <w:rsid w:val="009406B8"/>
    <w:rsid w:val="00940C43"/>
    <w:rsid w:val="0094193D"/>
    <w:rsid w:val="00950586"/>
    <w:rsid w:val="00950ADF"/>
    <w:rsid w:val="009512B1"/>
    <w:rsid w:val="0095148B"/>
    <w:rsid w:val="0095162C"/>
    <w:rsid w:val="009548DD"/>
    <w:rsid w:val="009611B9"/>
    <w:rsid w:val="00963768"/>
    <w:rsid w:val="009722FB"/>
    <w:rsid w:val="00972B5A"/>
    <w:rsid w:val="0098089E"/>
    <w:rsid w:val="0098214C"/>
    <w:rsid w:val="009837A2"/>
    <w:rsid w:val="00984360"/>
    <w:rsid w:val="00984E96"/>
    <w:rsid w:val="0098683A"/>
    <w:rsid w:val="00992149"/>
    <w:rsid w:val="00994224"/>
    <w:rsid w:val="009A4010"/>
    <w:rsid w:val="009A6C8B"/>
    <w:rsid w:val="009A74B9"/>
    <w:rsid w:val="009B12C9"/>
    <w:rsid w:val="009B32B6"/>
    <w:rsid w:val="009B3F8D"/>
    <w:rsid w:val="009B59F6"/>
    <w:rsid w:val="009C54C0"/>
    <w:rsid w:val="009C71A6"/>
    <w:rsid w:val="009C72A5"/>
    <w:rsid w:val="009D1274"/>
    <w:rsid w:val="009E1B28"/>
    <w:rsid w:val="009E2AAC"/>
    <w:rsid w:val="009F0DAA"/>
    <w:rsid w:val="009F4281"/>
    <w:rsid w:val="009F775C"/>
    <w:rsid w:val="009F7A6B"/>
    <w:rsid w:val="00A006DC"/>
    <w:rsid w:val="00A03A36"/>
    <w:rsid w:val="00A03C6A"/>
    <w:rsid w:val="00A05831"/>
    <w:rsid w:val="00A05BC2"/>
    <w:rsid w:val="00A06535"/>
    <w:rsid w:val="00A07D10"/>
    <w:rsid w:val="00A10024"/>
    <w:rsid w:val="00A16524"/>
    <w:rsid w:val="00A16709"/>
    <w:rsid w:val="00A20AE9"/>
    <w:rsid w:val="00A247C7"/>
    <w:rsid w:val="00A25AFF"/>
    <w:rsid w:val="00A2629B"/>
    <w:rsid w:val="00A307D1"/>
    <w:rsid w:val="00A31AB8"/>
    <w:rsid w:val="00A32124"/>
    <w:rsid w:val="00A3433B"/>
    <w:rsid w:val="00A42AC1"/>
    <w:rsid w:val="00A44542"/>
    <w:rsid w:val="00A527DB"/>
    <w:rsid w:val="00A53138"/>
    <w:rsid w:val="00A55341"/>
    <w:rsid w:val="00A626C4"/>
    <w:rsid w:val="00A70E9F"/>
    <w:rsid w:val="00A729BF"/>
    <w:rsid w:val="00A7447C"/>
    <w:rsid w:val="00A754A7"/>
    <w:rsid w:val="00A80046"/>
    <w:rsid w:val="00A80794"/>
    <w:rsid w:val="00A83A91"/>
    <w:rsid w:val="00A90905"/>
    <w:rsid w:val="00A944CE"/>
    <w:rsid w:val="00A95D3D"/>
    <w:rsid w:val="00AA136A"/>
    <w:rsid w:val="00AA2840"/>
    <w:rsid w:val="00AA3867"/>
    <w:rsid w:val="00AA655D"/>
    <w:rsid w:val="00AA67AC"/>
    <w:rsid w:val="00AB0BBE"/>
    <w:rsid w:val="00AB276F"/>
    <w:rsid w:val="00AB36B0"/>
    <w:rsid w:val="00AB5F89"/>
    <w:rsid w:val="00AC49BC"/>
    <w:rsid w:val="00AC6354"/>
    <w:rsid w:val="00AC6B13"/>
    <w:rsid w:val="00AC73B6"/>
    <w:rsid w:val="00AD76E4"/>
    <w:rsid w:val="00AE0A55"/>
    <w:rsid w:val="00AE0D4C"/>
    <w:rsid w:val="00AF17EF"/>
    <w:rsid w:val="00AF1E2A"/>
    <w:rsid w:val="00B05CB2"/>
    <w:rsid w:val="00B1350C"/>
    <w:rsid w:val="00B13F45"/>
    <w:rsid w:val="00B1579C"/>
    <w:rsid w:val="00B2231F"/>
    <w:rsid w:val="00B2557F"/>
    <w:rsid w:val="00B30816"/>
    <w:rsid w:val="00B33AF6"/>
    <w:rsid w:val="00B35E03"/>
    <w:rsid w:val="00B37438"/>
    <w:rsid w:val="00B4271D"/>
    <w:rsid w:val="00B45387"/>
    <w:rsid w:val="00B47B21"/>
    <w:rsid w:val="00B51E1B"/>
    <w:rsid w:val="00B53F0A"/>
    <w:rsid w:val="00B54678"/>
    <w:rsid w:val="00B54954"/>
    <w:rsid w:val="00B62AF7"/>
    <w:rsid w:val="00B658C0"/>
    <w:rsid w:val="00B65A55"/>
    <w:rsid w:val="00B66A07"/>
    <w:rsid w:val="00B673D4"/>
    <w:rsid w:val="00B67F09"/>
    <w:rsid w:val="00B77414"/>
    <w:rsid w:val="00B8170B"/>
    <w:rsid w:val="00B84512"/>
    <w:rsid w:val="00B86206"/>
    <w:rsid w:val="00B93832"/>
    <w:rsid w:val="00BA2185"/>
    <w:rsid w:val="00BB2DA0"/>
    <w:rsid w:val="00BB4EF5"/>
    <w:rsid w:val="00BB7B1E"/>
    <w:rsid w:val="00BC51D4"/>
    <w:rsid w:val="00BD0997"/>
    <w:rsid w:val="00BD2D19"/>
    <w:rsid w:val="00BD3FF0"/>
    <w:rsid w:val="00BD7C9D"/>
    <w:rsid w:val="00BE1895"/>
    <w:rsid w:val="00BE1F4A"/>
    <w:rsid w:val="00BE31B6"/>
    <w:rsid w:val="00BE50FD"/>
    <w:rsid w:val="00BE5CF3"/>
    <w:rsid w:val="00BF099B"/>
    <w:rsid w:val="00BF4F62"/>
    <w:rsid w:val="00C00195"/>
    <w:rsid w:val="00C05B6D"/>
    <w:rsid w:val="00C06810"/>
    <w:rsid w:val="00C06F20"/>
    <w:rsid w:val="00C10FD6"/>
    <w:rsid w:val="00C14A7D"/>
    <w:rsid w:val="00C2067E"/>
    <w:rsid w:val="00C22EEB"/>
    <w:rsid w:val="00C237E9"/>
    <w:rsid w:val="00C25554"/>
    <w:rsid w:val="00C30F51"/>
    <w:rsid w:val="00C3495F"/>
    <w:rsid w:val="00C352A4"/>
    <w:rsid w:val="00C354EE"/>
    <w:rsid w:val="00C36852"/>
    <w:rsid w:val="00C44D98"/>
    <w:rsid w:val="00C45B4E"/>
    <w:rsid w:val="00C54212"/>
    <w:rsid w:val="00C60753"/>
    <w:rsid w:val="00C6100E"/>
    <w:rsid w:val="00C64CB9"/>
    <w:rsid w:val="00C663BD"/>
    <w:rsid w:val="00C71C24"/>
    <w:rsid w:val="00C77BCB"/>
    <w:rsid w:val="00C81B7A"/>
    <w:rsid w:val="00C834B9"/>
    <w:rsid w:val="00C9305D"/>
    <w:rsid w:val="00CA1C0A"/>
    <w:rsid w:val="00CA32A4"/>
    <w:rsid w:val="00CA3EF0"/>
    <w:rsid w:val="00CA410B"/>
    <w:rsid w:val="00CA49DF"/>
    <w:rsid w:val="00CA549C"/>
    <w:rsid w:val="00CB167B"/>
    <w:rsid w:val="00CB3D27"/>
    <w:rsid w:val="00CB598A"/>
    <w:rsid w:val="00CC381B"/>
    <w:rsid w:val="00CD4D78"/>
    <w:rsid w:val="00CE1601"/>
    <w:rsid w:val="00CE1D6C"/>
    <w:rsid w:val="00CE626D"/>
    <w:rsid w:val="00CE7642"/>
    <w:rsid w:val="00CF1DFE"/>
    <w:rsid w:val="00CF6E5E"/>
    <w:rsid w:val="00D020BC"/>
    <w:rsid w:val="00D02242"/>
    <w:rsid w:val="00D05111"/>
    <w:rsid w:val="00D106F0"/>
    <w:rsid w:val="00D13EEA"/>
    <w:rsid w:val="00D177B7"/>
    <w:rsid w:val="00D222B2"/>
    <w:rsid w:val="00D2481D"/>
    <w:rsid w:val="00D32438"/>
    <w:rsid w:val="00D3461E"/>
    <w:rsid w:val="00D34A13"/>
    <w:rsid w:val="00D355EE"/>
    <w:rsid w:val="00D405FF"/>
    <w:rsid w:val="00D4732A"/>
    <w:rsid w:val="00D47B83"/>
    <w:rsid w:val="00D5007B"/>
    <w:rsid w:val="00D52F50"/>
    <w:rsid w:val="00D56A26"/>
    <w:rsid w:val="00D64324"/>
    <w:rsid w:val="00D70886"/>
    <w:rsid w:val="00D71981"/>
    <w:rsid w:val="00D743AB"/>
    <w:rsid w:val="00D75F75"/>
    <w:rsid w:val="00D77A27"/>
    <w:rsid w:val="00D84897"/>
    <w:rsid w:val="00D857B8"/>
    <w:rsid w:val="00D903EC"/>
    <w:rsid w:val="00D9187A"/>
    <w:rsid w:val="00D93C14"/>
    <w:rsid w:val="00D9463C"/>
    <w:rsid w:val="00DA54B1"/>
    <w:rsid w:val="00DA5F0E"/>
    <w:rsid w:val="00DB078C"/>
    <w:rsid w:val="00DB1D71"/>
    <w:rsid w:val="00DB367B"/>
    <w:rsid w:val="00DB39D2"/>
    <w:rsid w:val="00DB6C54"/>
    <w:rsid w:val="00DC04EF"/>
    <w:rsid w:val="00DC14B4"/>
    <w:rsid w:val="00DC1EDD"/>
    <w:rsid w:val="00DC26D3"/>
    <w:rsid w:val="00DC50BA"/>
    <w:rsid w:val="00DC7834"/>
    <w:rsid w:val="00DE513F"/>
    <w:rsid w:val="00DE7268"/>
    <w:rsid w:val="00DF6FF1"/>
    <w:rsid w:val="00E00E24"/>
    <w:rsid w:val="00E13B16"/>
    <w:rsid w:val="00E15CD0"/>
    <w:rsid w:val="00E17653"/>
    <w:rsid w:val="00E24571"/>
    <w:rsid w:val="00E256EF"/>
    <w:rsid w:val="00E26FA2"/>
    <w:rsid w:val="00E27067"/>
    <w:rsid w:val="00E32696"/>
    <w:rsid w:val="00E35B4F"/>
    <w:rsid w:val="00E35DBB"/>
    <w:rsid w:val="00E42D19"/>
    <w:rsid w:val="00E44058"/>
    <w:rsid w:val="00E47C78"/>
    <w:rsid w:val="00E51536"/>
    <w:rsid w:val="00E5447B"/>
    <w:rsid w:val="00E5646C"/>
    <w:rsid w:val="00E6109F"/>
    <w:rsid w:val="00E83D7A"/>
    <w:rsid w:val="00E92C49"/>
    <w:rsid w:val="00EA2B27"/>
    <w:rsid w:val="00EA7242"/>
    <w:rsid w:val="00EB23F1"/>
    <w:rsid w:val="00EC354C"/>
    <w:rsid w:val="00EC539E"/>
    <w:rsid w:val="00EC681F"/>
    <w:rsid w:val="00EC7CC6"/>
    <w:rsid w:val="00ED130A"/>
    <w:rsid w:val="00ED2E1C"/>
    <w:rsid w:val="00ED3B58"/>
    <w:rsid w:val="00ED6013"/>
    <w:rsid w:val="00EE0BE1"/>
    <w:rsid w:val="00EE0EFA"/>
    <w:rsid w:val="00EE21A9"/>
    <w:rsid w:val="00EE33CA"/>
    <w:rsid w:val="00EE3CE6"/>
    <w:rsid w:val="00EE532B"/>
    <w:rsid w:val="00EF4DBB"/>
    <w:rsid w:val="00F00165"/>
    <w:rsid w:val="00F029EC"/>
    <w:rsid w:val="00F058D6"/>
    <w:rsid w:val="00F074DE"/>
    <w:rsid w:val="00F13B6B"/>
    <w:rsid w:val="00F21F9F"/>
    <w:rsid w:val="00F223BC"/>
    <w:rsid w:val="00F2738D"/>
    <w:rsid w:val="00F3039F"/>
    <w:rsid w:val="00F47FA8"/>
    <w:rsid w:val="00F56CED"/>
    <w:rsid w:val="00F61389"/>
    <w:rsid w:val="00F678C9"/>
    <w:rsid w:val="00F729C9"/>
    <w:rsid w:val="00F74952"/>
    <w:rsid w:val="00F87BB6"/>
    <w:rsid w:val="00F9094A"/>
    <w:rsid w:val="00F938EF"/>
    <w:rsid w:val="00F95C74"/>
    <w:rsid w:val="00F96808"/>
    <w:rsid w:val="00FA304B"/>
    <w:rsid w:val="00FA4F76"/>
    <w:rsid w:val="00FA6C3A"/>
    <w:rsid w:val="00FB4B77"/>
    <w:rsid w:val="00FB63EF"/>
    <w:rsid w:val="00FB6A58"/>
    <w:rsid w:val="00FC152B"/>
    <w:rsid w:val="00FC732E"/>
    <w:rsid w:val="00FC79D4"/>
    <w:rsid w:val="00FC7E62"/>
    <w:rsid w:val="00FD6B6E"/>
    <w:rsid w:val="00FE3819"/>
    <w:rsid w:val="00FE54D1"/>
    <w:rsid w:val="00FE6138"/>
    <w:rsid w:val="00FF1680"/>
    <w:rsid w:val="00FF6425"/>
    <w:rsid w:val="00FF6605"/>
    <w:rsid w:val="00FF6A26"/>
    <w:rsid w:val="00FF6CCB"/>
    <w:rsid w:val="00FF6D63"/>
    <w:rsid w:val="00FF6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F74"/>
    <w:rPr>
      <w:rFonts w:eastAsia="MS Mincho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5A5F7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5A5F74"/>
    <w:rPr>
      <w:rFonts w:eastAsia="MS Mincho"/>
      <w:sz w:val="24"/>
      <w:szCs w:val="24"/>
      <w:lang w:eastAsia="ja-JP"/>
    </w:rPr>
  </w:style>
  <w:style w:type="paragraph" w:styleId="a5">
    <w:name w:val="List Paragraph"/>
    <w:basedOn w:val="a"/>
    <w:uiPriority w:val="99"/>
    <w:qFormat/>
    <w:rsid w:val="005A5F7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6">
    <w:name w:val="Strong"/>
    <w:basedOn w:val="a0"/>
    <w:qFormat/>
    <w:rsid w:val="005A5F74"/>
    <w:rPr>
      <w:b/>
      <w:bCs/>
    </w:rPr>
  </w:style>
  <w:style w:type="paragraph" w:styleId="a7">
    <w:name w:val="header"/>
    <w:basedOn w:val="a"/>
    <w:link w:val="a8"/>
    <w:uiPriority w:val="99"/>
    <w:rsid w:val="005A5F7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A5F74"/>
    <w:rPr>
      <w:rFonts w:eastAsia="MS Mincho"/>
      <w:sz w:val="24"/>
      <w:szCs w:val="24"/>
      <w:lang w:eastAsia="ja-JP"/>
    </w:rPr>
  </w:style>
  <w:style w:type="paragraph" w:styleId="a9">
    <w:name w:val="Balloon Text"/>
    <w:basedOn w:val="a"/>
    <w:link w:val="aa"/>
    <w:uiPriority w:val="99"/>
    <w:semiHidden/>
    <w:rsid w:val="00BB2D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DA0"/>
    <w:rPr>
      <w:rFonts w:ascii="Tahoma" w:eastAsia="MS Mincho" w:hAnsi="Tahoma" w:cs="Tahoma"/>
      <w:sz w:val="16"/>
      <w:szCs w:val="16"/>
      <w:lang w:eastAsia="ja-JP"/>
    </w:rPr>
  </w:style>
  <w:style w:type="paragraph" w:styleId="ab">
    <w:name w:val="Body Text"/>
    <w:basedOn w:val="a"/>
    <w:link w:val="ac"/>
    <w:uiPriority w:val="99"/>
    <w:semiHidden/>
    <w:rsid w:val="004C0BF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4C0BFD"/>
    <w:rPr>
      <w:rFonts w:eastAsia="MS Mincho"/>
      <w:sz w:val="24"/>
      <w:szCs w:val="24"/>
      <w:lang w:eastAsia="ja-JP"/>
    </w:rPr>
  </w:style>
  <w:style w:type="paragraph" w:customStyle="1" w:styleId="ad">
    <w:name w:val="ЭЭГ"/>
    <w:basedOn w:val="a"/>
    <w:rsid w:val="004C0BFD"/>
    <w:pPr>
      <w:spacing w:line="360" w:lineRule="auto"/>
      <w:ind w:firstLine="720"/>
      <w:jc w:val="both"/>
    </w:pPr>
    <w:rPr>
      <w:rFonts w:eastAsia="Times New Roman"/>
      <w:lang w:eastAsia="ru-RU"/>
    </w:rPr>
  </w:style>
  <w:style w:type="paragraph" w:customStyle="1" w:styleId="ConsPlusNormal">
    <w:name w:val="ConsPlusNormal"/>
    <w:uiPriority w:val="99"/>
    <w:rsid w:val="004C0BFD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4C0BF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e">
    <w:name w:val="footer"/>
    <w:basedOn w:val="a"/>
    <w:link w:val="af"/>
    <w:uiPriority w:val="99"/>
    <w:semiHidden/>
    <w:rsid w:val="00AA38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3867"/>
    <w:rPr>
      <w:rFonts w:eastAsia="MS Mincho"/>
      <w:sz w:val="24"/>
      <w:szCs w:val="24"/>
      <w:lang w:eastAsia="ja-JP"/>
    </w:rPr>
  </w:style>
  <w:style w:type="paragraph" w:customStyle="1" w:styleId="1">
    <w:name w:val="Ñòèëü1"/>
    <w:basedOn w:val="a"/>
    <w:link w:val="10"/>
    <w:rsid w:val="005C57B8"/>
    <w:pPr>
      <w:spacing w:line="288" w:lineRule="auto"/>
    </w:pPr>
    <w:rPr>
      <w:rFonts w:eastAsia="Times New Roman"/>
      <w:sz w:val="28"/>
      <w:szCs w:val="20"/>
      <w:lang w:eastAsia="ru-RU"/>
    </w:rPr>
  </w:style>
  <w:style w:type="character" w:customStyle="1" w:styleId="10">
    <w:name w:val="Ñòèëü1 Знак"/>
    <w:basedOn w:val="a0"/>
    <w:link w:val="1"/>
    <w:rsid w:val="005C57B8"/>
    <w:rPr>
      <w:rFonts w:eastAsia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89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8D4A7-E7F5-4AD8-9220-1EF3273E9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4</Pages>
  <Words>1094</Words>
  <Characters>7873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НАПРАВЛЕНИЯ</vt:lpstr>
    </vt:vector>
  </TitlesOfParts>
  <Company>2</Company>
  <LinksUpToDate>false</LinksUpToDate>
  <CharactersWithSpaces>8950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НАПРАВЛЕНИЯ</dc:title>
  <dc:creator>Irina.ermolenko</dc:creator>
  <cp:lastModifiedBy>raifo2</cp:lastModifiedBy>
  <cp:revision>118</cp:revision>
  <cp:lastPrinted>2020-11-12T12:31:00Z</cp:lastPrinted>
  <dcterms:created xsi:type="dcterms:W3CDTF">2016-11-14T08:07:00Z</dcterms:created>
  <dcterms:modified xsi:type="dcterms:W3CDTF">2021-11-12T07:37:00Z</dcterms:modified>
</cp:coreProperties>
</file>